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0E700" w14:textId="0602E8E7" w:rsidR="00C4564F" w:rsidRPr="008B1D5F" w:rsidRDefault="008B1D5F" w:rsidP="00C4564F">
      <w:pPr>
        <w:rPr>
          <w:b/>
          <w:bCs/>
          <w:sz w:val="40"/>
          <w:szCs w:val="40"/>
        </w:rPr>
      </w:pPr>
      <w:r>
        <w:rPr>
          <w:b/>
          <w:bCs/>
          <w:noProof/>
          <w:sz w:val="40"/>
          <w:szCs w:val="40"/>
        </w:rPr>
        <w:drawing>
          <wp:anchor distT="0" distB="0" distL="114300" distR="114300" simplePos="0" relativeHeight="251658240" behindDoc="0" locked="0" layoutInCell="1" allowOverlap="1" wp14:anchorId="00C34947" wp14:editId="4EE6228A">
            <wp:simplePos x="0" y="0"/>
            <wp:positionH relativeFrom="margin">
              <wp:align>right</wp:align>
            </wp:positionH>
            <wp:positionV relativeFrom="paragraph">
              <wp:posOffset>0</wp:posOffset>
            </wp:positionV>
            <wp:extent cx="1016635" cy="581025"/>
            <wp:effectExtent l="0" t="0" r="0" b="9525"/>
            <wp:wrapThrough wrapText="bothSides">
              <wp:wrapPolygon edited="0">
                <wp:start x="0" y="0"/>
                <wp:lineTo x="0" y="21246"/>
                <wp:lineTo x="21047" y="21246"/>
                <wp:lineTo x="21047" y="0"/>
                <wp:lineTo x="0" y="0"/>
              </wp:wrapPolygon>
            </wp:wrapThrough>
            <wp:docPr id="5469635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963547" name="Picture 546963547"/>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16635" cy="581025"/>
                    </a:xfrm>
                    <a:prstGeom prst="rect">
                      <a:avLst/>
                    </a:prstGeom>
                  </pic:spPr>
                </pic:pic>
              </a:graphicData>
            </a:graphic>
            <wp14:sizeRelH relativeFrom="margin">
              <wp14:pctWidth>0</wp14:pctWidth>
            </wp14:sizeRelH>
            <wp14:sizeRelV relativeFrom="margin">
              <wp14:pctHeight>0</wp14:pctHeight>
            </wp14:sizeRelV>
          </wp:anchor>
        </w:drawing>
      </w:r>
      <w:r w:rsidR="00C4564F" w:rsidRPr="008B1D5F">
        <w:rPr>
          <w:b/>
          <w:bCs/>
          <w:sz w:val="40"/>
          <w:szCs w:val="40"/>
        </w:rPr>
        <w:t>Step-by-Step Guide</w:t>
      </w:r>
      <w:r w:rsidRPr="008B1D5F">
        <w:rPr>
          <w:b/>
          <w:bCs/>
          <w:sz w:val="40"/>
          <w:szCs w:val="40"/>
        </w:rPr>
        <w:t xml:space="preserve"> </w:t>
      </w:r>
      <w:r w:rsidR="00C4564F" w:rsidRPr="008B1D5F">
        <w:rPr>
          <w:b/>
          <w:bCs/>
          <w:sz w:val="40"/>
          <w:szCs w:val="40"/>
        </w:rPr>
        <w:t>Alzheimer’s, Dementia, and Parkinson’s Protocol</w:t>
      </w:r>
    </w:p>
    <w:p w14:paraId="35EACD3B" w14:textId="77777777" w:rsidR="00C4564F" w:rsidRPr="00C4564F" w:rsidRDefault="00C4564F" w:rsidP="00C4564F">
      <w:pPr>
        <w:rPr>
          <w:b/>
          <w:bCs/>
        </w:rPr>
      </w:pPr>
      <w:r w:rsidRPr="00C4564F">
        <w:rPr>
          <w:b/>
          <w:bCs/>
        </w:rPr>
        <w:t>Biofeedback Membership Training</w:t>
      </w:r>
    </w:p>
    <w:p w14:paraId="5A904951" w14:textId="77777777" w:rsidR="00F52864" w:rsidRPr="00F87284" w:rsidRDefault="00F52864" w:rsidP="00F52864">
      <w:pPr>
        <w:rPr>
          <w:b/>
          <w:bCs/>
        </w:rPr>
      </w:pPr>
      <w:r>
        <w:rPr>
          <w:b/>
          <w:bCs/>
        </w:rPr>
        <w:pict w14:anchorId="3A179D52">
          <v:rect id="_x0000_i1033" style="width:468pt;height:1.5pt" o:hralign="center" o:hrstd="t" o:hr="t" fillcolor="#a0a0a0" stroked="f"/>
        </w:pict>
      </w:r>
    </w:p>
    <w:p w14:paraId="6C59973E" w14:textId="77777777" w:rsidR="00F52864" w:rsidRPr="00F87284" w:rsidRDefault="00F52864" w:rsidP="00F52864">
      <w:pPr>
        <w:rPr>
          <w:b/>
          <w:bCs/>
        </w:rPr>
      </w:pPr>
      <w:r w:rsidRPr="00F87284">
        <w:rPr>
          <w:b/>
          <w:bCs/>
        </w:rPr>
        <w:t>Disclaimer</w:t>
      </w:r>
    </w:p>
    <w:p w14:paraId="440C182A" w14:textId="77777777" w:rsidR="00F52864" w:rsidRPr="00F87284" w:rsidRDefault="00F52864" w:rsidP="00F52864">
      <w:r w:rsidRPr="00F87284">
        <w:t xml:space="preserve">This training from </w:t>
      </w:r>
      <w:r w:rsidRPr="00F87284">
        <w:rPr>
          <w:i/>
          <w:iCs/>
        </w:rPr>
        <w:t>Enter Balancing Rays</w:t>
      </w:r>
      <w:r w:rsidRPr="00F87284">
        <w:t xml:space="preserve"> is for educational and entertainment purposes only. It does not provide medical advice and is not intended to diagnose, treat, or cure any condition. Use of this information is at your own discretion and risk.</w:t>
      </w:r>
    </w:p>
    <w:p w14:paraId="509D356E" w14:textId="1F07D9CD" w:rsidR="00F52864" w:rsidRDefault="00F52864" w:rsidP="00F52864">
      <w:r>
        <w:rPr>
          <w:b/>
          <w:bCs/>
        </w:rPr>
        <w:pict w14:anchorId="36FB1CE5">
          <v:rect id="_x0000_i1034" style="width:468pt;height:1.5pt" o:hralign="center" o:hrstd="t" o:hr="t" fillcolor="#a0a0a0" stroked="f"/>
        </w:pict>
      </w:r>
    </w:p>
    <w:p w14:paraId="0BD02F4C" w14:textId="430C797B" w:rsidR="00C4564F" w:rsidRPr="00C4564F" w:rsidRDefault="00C4564F" w:rsidP="00C4564F">
      <w:r w:rsidRPr="00C4564F">
        <w:t>This guide outlines the process taught in the </w:t>
      </w:r>
      <w:r w:rsidRPr="00C4564F">
        <w:rPr>
          <w:b/>
          <w:bCs/>
        </w:rPr>
        <w:t xml:space="preserve">Biofeedback Membership </w:t>
      </w:r>
      <w:r w:rsidR="008B1D5F">
        <w:rPr>
          <w:b/>
          <w:bCs/>
        </w:rPr>
        <w:t xml:space="preserve"> </w:t>
      </w:r>
      <w:proofErr w:type="spellStart"/>
      <w:r w:rsidR="008B1D5F">
        <w:rPr>
          <w:b/>
          <w:bCs/>
        </w:rPr>
        <w:t>Monthlly</w:t>
      </w:r>
      <w:proofErr w:type="spellEnd"/>
      <w:r w:rsidR="008B1D5F">
        <w:rPr>
          <w:b/>
          <w:bCs/>
        </w:rPr>
        <w:t xml:space="preserve"> </w:t>
      </w:r>
      <w:r w:rsidRPr="00C4564F">
        <w:rPr>
          <w:b/>
          <w:bCs/>
        </w:rPr>
        <w:t>Training</w:t>
      </w:r>
      <w:r w:rsidRPr="00C4564F">
        <w:t> for addressing neurological conditions such as Alzheimer’s, Dementia, and Parkinson’s using the Oberon biofeedback system.</w:t>
      </w:r>
    </w:p>
    <w:p w14:paraId="4CB32870" w14:textId="77777777" w:rsidR="00C4564F" w:rsidRPr="00C4564F" w:rsidRDefault="00000000" w:rsidP="00C4564F">
      <w:r>
        <w:pict w14:anchorId="72C33A4D">
          <v:rect id="_x0000_i1025" style="width:0;height:0" o:hralign="center" o:hrstd="t" o:hr="t" fillcolor="#a0a0a0" stroked="f"/>
        </w:pict>
      </w:r>
    </w:p>
    <w:p w14:paraId="10232283" w14:textId="62530F5D" w:rsidR="00C4564F" w:rsidRPr="00C4564F" w:rsidRDefault="00C4564F" w:rsidP="00C4564F">
      <w:pPr>
        <w:rPr>
          <w:b/>
          <w:bCs/>
        </w:rPr>
      </w:pPr>
      <w:r w:rsidRPr="00C4564F">
        <w:rPr>
          <w:b/>
          <w:bCs/>
        </w:rPr>
        <w:t>1. Understanding the Focus</w:t>
      </w:r>
    </w:p>
    <w:p w14:paraId="2EEFBC8E" w14:textId="165DA324" w:rsidR="00C4564F" w:rsidRPr="00C4564F" w:rsidRDefault="00C4564F" w:rsidP="00C4564F">
      <w:r w:rsidRPr="00C4564F">
        <w:t>These neurological conditions are considered </w:t>
      </w:r>
      <w:r w:rsidRPr="00C4564F">
        <w:rPr>
          <w:b/>
          <w:bCs/>
        </w:rPr>
        <w:t>specialized pathologies</w:t>
      </w:r>
      <w:r w:rsidRPr="00C4564F">
        <w:t> that often share overlapping patterns in the </w:t>
      </w:r>
      <w:r w:rsidRPr="00C4564F">
        <w:rPr>
          <w:b/>
          <w:bCs/>
        </w:rPr>
        <w:t>head frontal cross-section</w:t>
      </w:r>
      <w:r w:rsidRPr="00C4564F">
        <w:t> and </w:t>
      </w:r>
      <w:r w:rsidRPr="00C4564F">
        <w:rPr>
          <w:b/>
          <w:bCs/>
        </w:rPr>
        <w:t>neuro</w:t>
      </w:r>
      <w:r w:rsidR="008B1D5F">
        <w:rPr>
          <w:b/>
          <w:bCs/>
        </w:rPr>
        <w:t>cy</w:t>
      </w:r>
      <w:r w:rsidRPr="00C4564F">
        <w:rPr>
          <w:b/>
          <w:bCs/>
        </w:rPr>
        <w:t>te</w:t>
      </w:r>
      <w:r w:rsidRPr="00C4564F">
        <w:t> regions.</w:t>
      </w:r>
      <w:r w:rsidRPr="00C4564F">
        <w:br/>
        <w:t>The goal is to identify low-dispersion areas, strengthen the related organs, and balance microbial and biochemical imbalances contributing to neurological decline.</w:t>
      </w:r>
    </w:p>
    <w:p w14:paraId="3E215992" w14:textId="77777777" w:rsidR="00C4564F" w:rsidRPr="00C4564F" w:rsidRDefault="00000000" w:rsidP="00C4564F">
      <w:r>
        <w:pict w14:anchorId="46A09641">
          <v:rect id="_x0000_i1026" style="width:0;height:0" o:hralign="center" o:hrstd="t" o:hr="t" fillcolor="#a0a0a0" stroked="f"/>
        </w:pict>
      </w:r>
    </w:p>
    <w:p w14:paraId="2076028B" w14:textId="01878092" w:rsidR="00C4564F" w:rsidRPr="00C4564F" w:rsidRDefault="00C4564F" w:rsidP="00C4564F">
      <w:pPr>
        <w:rPr>
          <w:b/>
          <w:bCs/>
        </w:rPr>
      </w:pPr>
      <w:r w:rsidRPr="00C4564F">
        <w:rPr>
          <w:b/>
          <w:bCs/>
        </w:rPr>
        <w:t>2. Preparation and Scanning</w:t>
      </w:r>
    </w:p>
    <w:p w14:paraId="6A4C536E" w14:textId="205D85AA" w:rsidR="00C4564F" w:rsidRPr="00C4564F" w:rsidRDefault="00C4564F" w:rsidP="00C4564F">
      <w:pPr>
        <w:numPr>
          <w:ilvl w:val="0"/>
          <w:numId w:val="1"/>
        </w:numPr>
      </w:pPr>
      <w:r w:rsidRPr="00C4564F">
        <w:rPr>
          <w:b/>
          <w:bCs/>
        </w:rPr>
        <w:t>Perform a Full Body Scan</w:t>
      </w:r>
      <w:r w:rsidRPr="00C4564F">
        <w:t> using the </w:t>
      </w:r>
      <w:proofErr w:type="spellStart"/>
      <w:r w:rsidRPr="00C4564F">
        <w:rPr>
          <w:b/>
          <w:bCs/>
        </w:rPr>
        <w:t>Vegetto</w:t>
      </w:r>
      <w:r w:rsidR="008B1D5F">
        <w:rPr>
          <w:b/>
          <w:bCs/>
        </w:rPr>
        <w:t>t</w:t>
      </w:r>
      <w:r w:rsidRPr="00C4564F">
        <w:rPr>
          <w:b/>
          <w:bCs/>
        </w:rPr>
        <w:t>est</w:t>
      </w:r>
      <w:r w:rsidR="008B1D5F">
        <w:rPr>
          <w:b/>
          <w:bCs/>
        </w:rPr>
        <w:t>m</w:t>
      </w:r>
      <w:r w:rsidRPr="00C4564F">
        <w:rPr>
          <w:b/>
          <w:bCs/>
        </w:rPr>
        <w:t>ega</w:t>
      </w:r>
      <w:proofErr w:type="spellEnd"/>
      <w:r w:rsidRPr="00C4564F">
        <w:t>.</w:t>
      </w:r>
    </w:p>
    <w:p w14:paraId="0D298100" w14:textId="77777777" w:rsidR="00C4564F" w:rsidRPr="00C4564F" w:rsidRDefault="00C4564F" w:rsidP="00C4564F">
      <w:pPr>
        <w:numPr>
          <w:ilvl w:val="0"/>
          <w:numId w:val="1"/>
        </w:numPr>
      </w:pPr>
      <w:r w:rsidRPr="00C4564F">
        <w:rPr>
          <w:b/>
          <w:bCs/>
        </w:rPr>
        <w:t>Adjust Dispersion:</w:t>
      </w:r>
    </w:p>
    <w:p w14:paraId="0C468EE8" w14:textId="77777777" w:rsidR="00C4564F" w:rsidRPr="00C4564F" w:rsidRDefault="00C4564F" w:rsidP="00C4564F">
      <w:pPr>
        <w:numPr>
          <w:ilvl w:val="1"/>
          <w:numId w:val="1"/>
        </w:numPr>
      </w:pPr>
      <w:r w:rsidRPr="00C4564F">
        <w:t>For neurological conditions, set dispersion to </w:t>
      </w:r>
      <w:r w:rsidRPr="00C4564F">
        <w:rPr>
          <w:b/>
          <w:bCs/>
        </w:rPr>
        <w:t>2.0</w:t>
      </w:r>
      <w:r w:rsidRPr="00C4564F">
        <w:t> to capture higher-level pathologies.</w:t>
      </w:r>
    </w:p>
    <w:p w14:paraId="09E50CB6" w14:textId="55AD4E06" w:rsidR="00C4564F" w:rsidRPr="00C4564F" w:rsidRDefault="00C4564F" w:rsidP="00C4564F">
      <w:pPr>
        <w:numPr>
          <w:ilvl w:val="1"/>
          <w:numId w:val="1"/>
        </w:numPr>
      </w:pPr>
      <w:r w:rsidRPr="00C4564F">
        <w:t>For general scans, dispersion may remain at </w:t>
      </w:r>
      <w:r w:rsidRPr="00C4564F">
        <w:rPr>
          <w:b/>
          <w:bCs/>
        </w:rPr>
        <w:t>0.4–0.5</w:t>
      </w:r>
      <w:r w:rsidRPr="00C4564F">
        <w:t>.</w:t>
      </w:r>
    </w:p>
    <w:p w14:paraId="105E8E98" w14:textId="744CBAAC" w:rsidR="005539D2" w:rsidRPr="005539D2" w:rsidRDefault="005539D2" w:rsidP="00C4564F">
      <w:pPr>
        <w:numPr>
          <w:ilvl w:val="0"/>
          <w:numId w:val="1"/>
        </w:numPr>
      </w:pPr>
      <w:r>
        <w:rPr>
          <w:b/>
          <w:bCs/>
        </w:rPr>
        <w:t>Add a Search Bar to the Advanced Report:</w:t>
      </w:r>
    </w:p>
    <w:p w14:paraId="74063722" w14:textId="469DB5AE" w:rsidR="005539D2" w:rsidRDefault="005539D2" w:rsidP="005539D2">
      <w:pPr>
        <w:numPr>
          <w:ilvl w:val="1"/>
          <w:numId w:val="1"/>
        </w:numPr>
      </w:pPr>
      <w:r>
        <w:t>Right click on any of the column headings</w:t>
      </w:r>
    </w:p>
    <w:p w14:paraId="2B7E92C4" w14:textId="1F205E5E" w:rsidR="005539D2" w:rsidRDefault="005539D2" w:rsidP="005539D2">
      <w:pPr>
        <w:numPr>
          <w:ilvl w:val="1"/>
          <w:numId w:val="1"/>
        </w:numPr>
      </w:pPr>
      <w:r>
        <w:t>Select the “find panel” option at the end of the right click menu.</w:t>
      </w:r>
    </w:p>
    <w:p w14:paraId="68E11820" w14:textId="65D6E6EC" w:rsidR="005539D2" w:rsidRPr="005539D2" w:rsidRDefault="005539D2" w:rsidP="005539D2">
      <w:pPr>
        <w:numPr>
          <w:ilvl w:val="0"/>
          <w:numId w:val="1"/>
        </w:numPr>
      </w:pPr>
      <w:r>
        <w:rPr>
          <w:b/>
          <w:bCs/>
        </w:rPr>
        <w:lastRenderedPageBreak/>
        <w:t>Search for Keywords:</w:t>
      </w:r>
    </w:p>
    <w:p w14:paraId="60A06D4A" w14:textId="002F0D4C" w:rsidR="005539D2" w:rsidRDefault="005539D2" w:rsidP="005539D2">
      <w:pPr>
        <w:numPr>
          <w:ilvl w:val="1"/>
          <w:numId w:val="1"/>
        </w:numPr>
      </w:pPr>
      <w:r>
        <w:t>Alzheimer</w:t>
      </w:r>
    </w:p>
    <w:p w14:paraId="047B21FD" w14:textId="61DA3829" w:rsidR="005539D2" w:rsidRDefault="005539D2" w:rsidP="005539D2">
      <w:pPr>
        <w:numPr>
          <w:ilvl w:val="1"/>
          <w:numId w:val="1"/>
        </w:numPr>
      </w:pPr>
      <w:r>
        <w:t>Dementia</w:t>
      </w:r>
    </w:p>
    <w:p w14:paraId="7D179D72" w14:textId="73CE6FDD" w:rsidR="005539D2" w:rsidRPr="005539D2" w:rsidRDefault="005539D2" w:rsidP="005539D2">
      <w:pPr>
        <w:numPr>
          <w:ilvl w:val="1"/>
          <w:numId w:val="1"/>
        </w:numPr>
      </w:pPr>
      <w:r>
        <w:t>Parkinson’s</w:t>
      </w:r>
    </w:p>
    <w:p w14:paraId="33255EF6" w14:textId="18607EC6" w:rsidR="00C4564F" w:rsidRPr="00C4564F" w:rsidRDefault="00C4564F" w:rsidP="00C4564F">
      <w:pPr>
        <w:numPr>
          <w:ilvl w:val="0"/>
          <w:numId w:val="1"/>
        </w:numPr>
      </w:pPr>
      <w:r w:rsidRPr="00C4564F">
        <w:rPr>
          <w:b/>
          <w:bCs/>
        </w:rPr>
        <w:t>Identify Key Organs</w:t>
      </w:r>
      <w:r w:rsidR="005539D2">
        <w:rPr>
          <w:b/>
          <w:bCs/>
        </w:rPr>
        <w:t xml:space="preserve"> Associated with the Keyword Search</w:t>
      </w:r>
      <w:r w:rsidRPr="00C4564F">
        <w:rPr>
          <w:b/>
          <w:bCs/>
        </w:rPr>
        <w:t>:</w:t>
      </w:r>
    </w:p>
    <w:p w14:paraId="3BB8C9BA" w14:textId="77777777" w:rsidR="00C4564F" w:rsidRPr="00C4564F" w:rsidRDefault="00C4564F" w:rsidP="00C4564F">
      <w:pPr>
        <w:numPr>
          <w:ilvl w:val="1"/>
          <w:numId w:val="1"/>
        </w:numPr>
      </w:pPr>
      <w:r w:rsidRPr="00C4564F">
        <w:t>Head Frontal Cross-Section</w:t>
      </w:r>
    </w:p>
    <w:p w14:paraId="3B1FAD8D" w14:textId="03BE78E4" w:rsidR="00C4564F" w:rsidRPr="00C4564F" w:rsidRDefault="00C4564F" w:rsidP="00C4564F">
      <w:pPr>
        <w:numPr>
          <w:ilvl w:val="1"/>
          <w:numId w:val="1"/>
        </w:numPr>
      </w:pPr>
      <w:r w:rsidRPr="00C4564F">
        <w:t>Neuro</w:t>
      </w:r>
      <w:r w:rsidR="008B1D5F">
        <w:t>cy</w:t>
      </w:r>
      <w:r w:rsidRPr="00C4564F">
        <w:t>te</w:t>
      </w:r>
    </w:p>
    <w:p w14:paraId="311DB766" w14:textId="77777777" w:rsidR="00C4564F" w:rsidRPr="00C4564F" w:rsidRDefault="00C4564F" w:rsidP="00C4564F">
      <w:pPr>
        <w:numPr>
          <w:ilvl w:val="0"/>
          <w:numId w:val="1"/>
        </w:numPr>
      </w:pPr>
      <w:r w:rsidRPr="00C4564F">
        <w:rPr>
          <w:b/>
          <w:bCs/>
        </w:rPr>
        <w:t>Document Findings:</w:t>
      </w:r>
    </w:p>
    <w:p w14:paraId="5C118A43" w14:textId="06483FB6" w:rsidR="00C4564F" w:rsidRPr="00C4564F" w:rsidRDefault="006237AE" w:rsidP="00C4564F">
      <w:pPr>
        <w:numPr>
          <w:ilvl w:val="1"/>
          <w:numId w:val="1"/>
        </w:numPr>
      </w:pPr>
      <w:r>
        <w:t>Create a remedy plan for these organs</w:t>
      </w:r>
    </w:p>
    <w:p w14:paraId="27F20DC0" w14:textId="02029BC5" w:rsidR="00C4564F" w:rsidRPr="00C4564F" w:rsidRDefault="006237AE" w:rsidP="00C4564F">
      <w:pPr>
        <w:numPr>
          <w:ilvl w:val="1"/>
          <w:numId w:val="1"/>
        </w:numPr>
      </w:pPr>
      <w:r>
        <w:t xml:space="preserve">Use the attached </w:t>
      </w:r>
      <w:r w:rsidRPr="006237AE">
        <w:rPr>
          <w:b/>
          <w:bCs/>
        </w:rPr>
        <w:t>Topics</w:t>
      </w:r>
      <w:r>
        <w:t xml:space="preserve"> list to prepare remedies</w:t>
      </w:r>
    </w:p>
    <w:p w14:paraId="0C063753" w14:textId="77777777" w:rsidR="00C4564F" w:rsidRPr="00C4564F" w:rsidRDefault="00000000" w:rsidP="00C4564F">
      <w:r>
        <w:pict w14:anchorId="19B1263D">
          <v:rect id="_x0000_i1027" style="width:0;height:0" o:hralign="center" o:hrstd="t" o:hr="t" fillcolor="#a0a0a0" stroked="f"/>
        </w:pict>
      </w:r>
    </w:p>
    <w:p w14:paraId="658523F2" w14:textId="6CB8CD3F" w:rsidR="00C4564F" w:rsidRPr="00C4564F" w:rsidRDefault="00C4564F" w:rsidP="00C4564F">
      <w:pPr>
        <w:rPr>
          <w:b/>
          <w:bCs/>
        </w:rPr>
      </w:pPr>
      <w:r w:rsidRPr="00C4564F">
        <w:rPr>
          <w:b/>
          <w:bCs/>
        </w:rPr>
        <w:t>3. Building the Meta-Therapy Plan</w:t>
      </w:r>
    </w:p>
    <w:p w14:paraId="3FC0EEFA" w14:textId="77777777" w:rsidR="00C4564F" w:rsidRPr="00C4564F" w:rsidRDefault="00C4564F" w:rsidP="00C4564F">
      <w:pPr>
        <w:rPr>
          <w:b/>
          <w:bCs/>
        </w:rPr>
      </w:pPr>
      <w:r w:rsidRPr="00C4564F">
        <w:rPr>
          <w:b/>
          <w:bCs/>
        </w:rPr>
        <w:t>Step 1: Select Core Systems</w:t>
      </w:r>
    </w:p>
    <w:p w14:paraId="679CD485" w14:textId="77777777" w:rsidR="00C4564F" w:rsidRPr="00C4564F" w:rsidRDefault="00C4564F" w:rsidP="00C4564F">
      <w:r w:rsidRPr="00C4564F">
        <w:t>Include:</w:t>
      </w:r>
    </w:p>
    <w:p w14:paraId="0691DB25" w14:textId="77777777" w:rsidR="00C4564F" w:rsidRPr="00C4564F" w:rsidRDefault="00C4564F" w:rsidP="00C4564F">
      <w:pPr>
        <w:numPr>
          <w:ilvl w:val="0"/>
          <w:numId w:val="2"/>
        </w:numPr>
      </w:pPr>
      <w:r w:rsidRPr="00C4564F">
        <w:rPr>
          <w:b/>
          <w:bCs/>
        </w:rPr>
        <w:t>Core System</w:t>
      </w:r>
    </w:p>
    <w:p w14:paraId="2490D257" w14:textId="77777777" w:rsidR="00C4564F" w:rsidRPr="00C4564F" w:rsidRDefault="00C4564F" w:rsidP="00C4564F">
      <w:pPr>
        <w:numPr>
          <w:ilvl w:val="0"/>
          <w:numId w:val="2"/>
        </w:numPr>
      </w:pPr>
      <w:r w:rsidRPr="00C4564F">
        <w:rPr>
          <w:b/>
          <w:bCs/>
        </w:rPr>
        <w:t>Nervous System</w:t>
      </w:r>
    </w:p>
    <w:p w14:paraId="62E21A69" w14:textId="77777777" w:rsidR="00C4564F" w:rsidRPr="00C4564F" w:rsidRDefault="00C4564F" w:rsidP="00C4564F">
      <w:pPr>
        <w:numPr>
          <w:ilvl w:val="0"/>
          <w:numId w:val="2"/>
        </w:numPr>
      </w:pPr>
      <w:r w:rsidRPr="00C4564F">
        <w:rPr>
          <w:b/>
          <w:bCs/>
        </w:rPr>
        <w:t>Endocrine System</w:t>
      </w:r>
    </w:p>
    <w:p w14:paraId="171C20F0" w14:textId="73C61BE8" w:rsidR="00C4564F" w:rsidRPr="00C4564F" w:rsidRDefault="00C4564F" w:rsidP="00C4564F">
      <w:pPr>
        <w:numPr>
          <w:ilvl w:val="0"/>
          <w:numId w:val="2"/>
        </w:numPr>
      </w:pPr>
      <w:r w:rsidRPr="00C4564F">
        <w:rPr>
          <w:b/>
          <w:bCs/>
        </w:rPr>
        <w:t>Blood and Lymph</w:t>
      </w:r>
      <w:r w:rsidRPr="00C4564F">
        <w:t> (optional for detox support) </w:t>
      </w:r>
      <w:r w:rsidR="008B1D5F">
        <w:t>– You can use the flush preset instead of adding to your general preset.</w:t>
      </w:r>
    </w:p>
    <w:p w14:paraId="2D285528" w14:textId="77777777" w:rsidR="00C4564F" w:rsidRPr="00C4564F" w:rsidRDefault="00C4564F" w:rsidP="00C4564F">
      <w:pPr>
        <w:rPr>
          <w:b/>
          <w:bCs/>
        </w:rPr>
      </w:pPr>
      <w:r w:rsidRPr="00C4564F">
        <w:rPr>
          <w:b/>
          <w:bCs/>
        </w:rPr>
        <w:t>Step 2: Choose Meta Levels</w:t>
      </w:r>
    </w:p>
    <w:p w14:paraId="7F579B52" w14:textId="77777777" w:rsidR="00C4564F" w:rsidRPr="00C4564F" w:rsidRDefault="00C4564F" w:rsidP="00C4564F">
      <w:pPr>
        <w:numPr>
          <w:ilvl w:val="0"/>
          <w:numId w:val="3"/>
        </w:numPr>
      </w:pPr>
      <w:r w:rsidRPr="00C4564F">
        <w:rPr>
          <w:b/>
          <w:bCs/>
        </w:rPr>
        <w:t>Meta by 5 or 10:</w:t>
      </w:r>
      <w:r w:rsidRPr="00C4564F">
        <w:t> For sensitive clients or early-stage symptoms.</w:t>
      </w:r>
    </w:p>
    <w:p w14:paraId="5EEE970B" w14:textId="77777777" w:rsidR="00C4564F" w:rsidRPr="00C4564F" w:rsidRDefault="00C4564F" w:rsidP="00C4564F">
      <w:pPr>
        <w:numPr>
          <w:ilvl w:val="0"/>
          <w:numId w:val="3"/>
        </w:numPr>
      </w:pPr>
      <w:r w:rsidRPr="00C4564F">
        <w:rPr>
          <w:b/>
          <w:bCs/>
        </w:rPr>
        <w:t>Meta by 20–40:</w:t>
      </w:r>
      <w:r w:rsidRPr="00C4564F">
        <w:t> For moderate cases.</w:t>
      </w:r>
    </w:p>
    <w:p w14:paraId="02255D63" w14:textId="5CC4C992" w:rsidR="00C4564F" w:rsidRPr="00C4564F" w:rsidRDefault="00C4564F" w:rsidP="00C4564F">
      <w:pPr>
        <w:numPr>
          <w:ilvl w:val="0"/>
          <w:numId w:val="3"/>
        </w:numPr>
      </w:pPr>
      <w:r w:rsidRPr="00C4564F">
        <w:rPr>
          <w:b/>
          <w:bCs/>
        </w:rPr>
        <w:t>Meta by 100:</w:t>
      </w:r>
      <w:r w:rsidRPr="00C4564F">
        <w:t> For advanced or resistant conditions (use caution)</w:t>
      </w:r>
      <w:r w:rsidR="008B1D5F">
        <w:t>.</w:t>
      </w:r>
    </w:p>
    <w:p w14:paraId="6E7C5104" w14:textId="440190A4" w:rsidR="00C4564F" w:rsidRPr="00C4564F" w:rsidRDefault="00C4564F" w:rsidP="00C4564F">
      <w:r w:rsidRPr="00C4564F">
        <w:t>Avoid Meta by 100 directly on </w:t>
      </w:r>
      <w:r w:rsidRPr="00C4564F">
        <w:rPr>
          <w:b/>
          <w:bCs/>
        </w:rPr>
        <w:t>head frontal cross-section</w:t>
      </w:r>
      <w:r w:rsidRPr="00C4564F">
        <w:t> or </w:t>
      </w:r>
      <w:r w:rsidRPr="00C4564F">
        <w:rPr>
          <w:b/>
          <w:bCs/>
        </w:rPr>
        <w:t>neuro</w:t>
      </w:r>
      <w:r w:rsidR="008B1D5F">
        <w:rPr>
          <w:b/>
          <w:bCs/>
        </w:rPr>
        <w:t>cyt</w:t>
      </w:r>
      <w:r w:rsidRPr="00C4564F">
        <w:rPr>
          <w:b/>
          <w:bCs/>
        </w:rPr>
        <w:t>e</w:t>
      </w:r>
      <w:r w:rsidRPr="00C4564F">
        <w:t> due to sensitivity (possible side effects: headaches, blurred vision, nosebleeds).</w:t>
      </w:r>
    </w:p>
    <w:p w14:paraId="323CED2F" w14:textId="77777777" w:rsidR="00C4564F" w:rsidRPr="00C4564F" w:rsidRDefault="00C4564F" w:rsidP="00C4564F">
      <w:pPr>
        <w:rPr>
          <w:b/>
          <w:bCs/>
        </w:rPr>
      </w:pPr>
      <w:r w:rsidRPr="00C4564F">
        <w:rPr>
          <w:b/>
          <w:bCs/>
        </w:rPr>
        <w:t>Step 3: Frequency and Duration</w:t>
      </w:r>
    </w:p>
    <w:p w14:paraId="6663EFAD" w14:textId="77777777" w:rsidR="00C4564F" w:rsidRPr="00C4564F" w:rsidRDefault="00C4564F" w:rsidP="00C4564F">
      <w:pPr>
        <w:numPr>
          <w:ilvl w:val="0"/>
          <w:numId w:val="4"/>
        </w:numPr>
      </w:pPr>
      <w:r w:rsidRPr="00C4564F">
        <w:t>Run </w:t>
      </w:r>
      <w:r w:rsidRPr="00C4564F">
        <w:rPr>
          <w:b/>
          <w:bCs/>
        </w:rPr>
        <w:t>4–5 sessions per week</w:t>
      </w:r>
      <w:r w:rsidRPr="00C4564F">
        <w:t>.</w:t>
      </w:r>
    </w:p>
    <w:p w14:paraId="22EEA441" w14:textId="631C6241" w:rsidR="00C4564F" w:rsidRPr="00C4564F" w:rsidRDefault="00C4564F" w:rsidP="00C4564F">
      <w:pPr>
        <w:numPr>
          <w:ilvl w:val="0"/>
          <w:numId w:val="4"/>
        </w:numPr>
      </w:pPr>
      <w:r w:rsidRPr="00C4564F">
        <w:lastRenderedPageBreak/>
        <w:t>For severe symptoms, run </w:t>
      </w:r>
      <w:r w:rsidRPr="00C4564F">
        <w:rPr>
          <w:b/>
          <w:bCs/>
        </w:rPr>
        <w:t>2 sessions per day</w:t>
      </w:r>
      <w:r w:rsidRPr="00C4564F">
        <w:t> at Meta by 5–10.</w:t>
      </w:r>
    </w:p>
    <w:p w14:paraId="38201460" w14:textId="77777777" w:rsidR="00C4564F" w:rsidRPr="00C4564F" w:rsidRDefault="00000000" w:rsidP="00C4564F">
      <w:r>
        <w:pict w14:anchorId="3C14B7D8">
          <v:rect id="_x0000_i1028" style="width:0;height:0" o:hralign="center" o:hrstd="t" o:hr="t" fillcolor="#a0a0a0" stroked="f"/>
        </w:pict>
      </w:r>
    </w:p>
    <w:p w14:paraId="41BA7AA5" w14:textId="0B16B481" w:rsidR="00C4564F" w:rsidRPr="00C4564F" w:rsidRDefault="00C4564F" w:rsidP="00C4564F">
      <w:pPr>
        <w:rPr>
          <w:b/>
          <w:bCs/>
        </w:rPr>
      </w:pPr>
      <w:r w:rsidRPr="00C4564F">
        <w:rPr>
          <w:b/>
          <w:bCs/>
        </w:rPr>
        <w:t xml:space="preserve"> 4. Remedy and </w:t>
      </w:r>
      <w:proofErr w:type="spellStart"/>
      <w:r w:rsidRPr="00C4564F">
        <w:rPr>
          <w:b/>
          <w:bCs/>
        </w:rPr>
        <w:t>Reprinter</w:t>
      </w:r>
      <w:proofErr w:type="spellEnd"/>
      <w:r w:rsidRPr="00C4564F">
        <w:rPr>
          <w:b/>
          <w:bCs/>
        </w:rPr>
        <w:t xml:space="preserve"> Work</w:t>
      </w:r>
    </w:p>
    <w:p w14:paraId="29FFE8A1" w14:textId="77777777" w:rsidR="00C4564F" w:rsidRPr="00C4564F" w:rsidRDefault="00C4564F" w:rsidP="00C4564F">
      <w:pPr>
        <w:rPr>
          <w:b/>
          <w:bCs/>
        </w:rPr>
      </w:pPr>
      <w:r w:rsidRPr="00C4564F">
        <w:rPr>
          <w:b/>
          <w:bCs/>
        </w:rPr>
        <w:t>Step 1: Prioritize Remedy Targets</w:t>
      </w:r>
    </w:p>
    <w:p w14:paraId="598C366A" w14:textId="795C5CAB" w:rsidR="00C4564F" w:rsidRPr="00C4564F" w:rsidRDefault="008B1D5F" w:rsidP="00C4564F">
      <w:r>
        <w:t xml:space="preserve">Scan the organs identified in the </w:t>
      </w:r>
      <w:r w:rsidRPr="008B1D5F">
        <w:rPr>
          <w:b/>
          <w:bCs/>
        </w:rPr>
        <w:t>Advanced Report</w:t>
      </w:r>
      <w:r>
        <w:t>:</w:t>
      </w:r>
    </w:p>
    <w:p w14:paraId="731056BF" w14:textId="77777777" w:rsidR="00C4564F" w:rsidRPr="00C4564F" w:rsidRDefault="00C4564F" w:rsidP="00C4564F">
      <w:pPr>
        <w:numPr>
          <w:ilvl w:val="0"/>
          <w:numId w:val="5"/>
        </w:numPr>
      </w:pPr>
      <w:r w:rsidRPr="00C4564F">
        <w:rPr>
          <w:b/>
          <w:bCs/>
        </w:rPr>
        <w:t>Head Frontal Cross-Section</w:t>
      </w:r>
    </w:p>
    <w:p w14:paraId="54DCE036" w14:textId="6ABA1BF3" w:rsidR="00C4564F" w:rsidRPr="006237AE" w:rsidRDefault="00C4564F" w:rsidP="00C4564F">
      <w:pPr>
        <w:numPr>
          <w:ilvl w:val="0"/>
          <w:numId w:val="5"/>
        </w:numPr>
      </w:pPr>
      <w:r w:rsidRPr="00C4564F">
        <w:rPr>
          <w:b/>
          <w:bCs/>
        </w:rPr>
        <w:t>Neuro</w:t>
      </w:r>
      <w:r w:rsidR="008B1D5F">
        <w:rPr>
          <w:b/>
          <w:bCs/>
        </w:rPr>
        <w:t>cy</w:t>
      </w:r>
      <w:r w:rsidRPr="00C4564F">
        <w:rPr>
          <w:b/>
          <w:bCs/>
        </w:rPr>
        <w:t>te</w:t>
      </w:r>
    </w:p>
    <w:p w14:paraId="349BB00F" w14:textId="5E14CEDD" w:rsidR="006237AE" w:rsidRPr="00C4564F" w:rsidRDefault="006237AE" w:rsidP="006237AE">
      <w:r>
        <w:rPr>
          <w:b/>
          <w:bCs/>
        </w:rPr>
        <w:t>NOTE: Add the organs below to remedy plan for optimal results:</w:t>
      </w:r>
    </w:p>
    <w:p w14:paraId="38925727" w14:textId="00CF1A04" w:rsidR="00C4564F" w:rsidRPr="00C4564F" w:rsidRDefault="00C4564F" w:rsidP="00C4564F">
      <w:pPr>
        <w:numPr>
          <w:ilvl w:val="0"/>
          <w:numId w:val="5"/>
        </w:numPr>
      </w:pPr>
      <w:proofErr w:type="spellStart"/>
      <w:r w:rsidRPr="00C4564F">
        <w:rPr>
          <w:b/>
          <w:bCs/>
        </w:rPr>
        <w:t>H</w:t>
      </w:r>
      <w:r w:rsidR="008B1D5F">
        <w:rPr>
          <w:b/>
          <w:bCs/>
        </w:rPr>
        <w:t>a</w:t>
      </w:r>
      <w:r w:rsidRPr="00C4564F">
        <w:rPr>
          <w:b/>
          <w:bCs/>
        </w:rPr>
        <w:t>emoglobin</w:t>
      </w:r>
      <w:proofErr w:type="spellEnd"/>
    </w:p>
    <w:p w14:paraId="61263D58" w14:textId="5437C35F" w:rsidR="00C4564F" w:rsidRPr="00C4564F" w:rsidRDefault="00C4564F" w:rsidP="00C4564F">
      <w:pPr>
        <w:numPr>
          <w:ilvl w:val="0"/>
          <w:numId w:val="5"/>
        </w:numPr>
      </w:pPr>
      <w:r w:rsidRPr="00C4564F">
        <w:rPr>
          <w:b/>
          <w:bCs/>
        </w:rPr>
        <w:t>Immunoglobin</w:t>
      </w:r>
      <w:r w:rsidR="008B1D5F">
        <w:rPr>
          <w:b/>
          <w:bCs/>
        </w:rPr>
        <w:t xml:space="preserve"> E</w:t>
      </w:r>
    </w:p>
    <w:p w14:paraId="130C526E" w14:textId="7F8FD7A6" w:rsidR="00C4564F" w:rsidRPr="00C4564F" w:rsidRDefault="00C4564F" w:rsidP="00C4564F">
      <w:pPr>
        <w:rPr>
          <w:b/>
          <w:bCs/>
        </w:rPr>
      </w:pPr>
      <w:r w:rsidRPr="00C4564F">
        <w:rPr>
          <w:b/>
          <w:bCs/>
        </w:rPr>
        <w:t xml:space="preserve">Step 2: </w:t>
      </w:r>
      <w:r w:rsidR="008B1D5F">
        <w:rPr>
          <w:b/>
          <w:bCs/>
        </w:rPr>
        <w:t>Go to the Analysis Page</w:t>
      </w:r>
    </w:p>
    <w:p w14:paraId="00CE70AD" w14:textId="77777777" w:rsidR="008B1D5F" w:rsidRPr="008B1D5F" w:rsidRDefault="008B1D5F" w:rsidP="00C4564F">
      <w:pPr>
        <w:numPr>
          <w:ilvl w:val="0"/>
          <w:numId w:val="6"/>
        </w:numPr>
      </w:pPr>
      <w:r w:rsidRPr="008B1D5F">
        <w:rPr>
          <w:b/>
          <w:bCs/>
        </w:rPr>
        <w:t xml:space="preserve">Go to the Microorganism and Helminths </w:t>
      </w:r>
      <w:r>
        <w:rPr>
          <w:b/>
          <w:bCs/>
        </w:rPr>
        <w:t xml:space="preserve">Topic </w:t>
      </w:r>
    </w:p>
    <w:p w14:paraId="46F463BF" w14:textId="3480F54E" w:rsidR="008B1D5F" w:rsidRPr="008B1D5F" w:rsidRDefault="008B1D5F" w:rsidP="00C4564F">
      <w:pPr>
        <w:numPr>
          <w:ilvl w:val="0"/>
          <w:numId w:val="6"/>
        </w:numPr>
        <w:rPr>
          <w:b/>
          <w:bCs/>
        </w:rPr>
      </w:pPr>
      <w:r>
        <w:rPr>
          <w:b/>
          <w:bCs/>
        </w:rPr>
        <w:t>I</w:t>
      </w:r>
      <w:r w:rsidR="00C4564F" w:rsidRPr="008B1D5F">
        <w:rPr>
          <w:b/>
          <w:bCs/>
        </w:rPr>
        <w:t xml:space="preserve">dentify fungal imbalances first </w:t>
      </w:r>
      <w:r>
        <w:t xml:space="preserve">and search for </w:t>
      </w:r>
      <w:r w:rsidRPr="008B1D5F">
        <w:rPr>
          <w:b/>
          <w:bCs/>
        </w:rPr>
        <w:t>“</w:t>
      </w:r>
      <w:proofErr w:type="spellStart"/>
      <w:r w:rsidRPr="008B1D5F">
        <w:rPr>
          <w:b/>
          <w:bCs/>
        </w:rPr>
        <w:t>f</w:t>
      </w:r>
      <w:r>
        <w:rPr>
          <w:b/>
          <w:bCs/>
        </w:rPr>
        <w:t>ung</w:t>
      </w:r>
      <w:proofErr w:type="spellEnd"/>
      <w:r>
        <w:rPr>
          <w:b/>
          <w:bCs/>
        </w:rPr>
        <w:t>”</w:t>
      </w:r>
    </w:p>
    <w:p w14:paraId="5AC30A4B" w14:textId="6AEB01D8" w:rsidR="00C4564F" w:rsidRDefault="008B1D5F" w:rsidP="008B1D5F">
      <w:pPr>
        <w:numPr>
          <w:ilvl w:val="1"/>
          <w:numId w:val="6"/>
        </w:numPr>
      </w:pPr>
      <w:r>
        <w:t xml:space="preserve">Click on </w:t>
      </w:r>
      <w:r>
        <w:rPr>
          <w:b/>
          <w:bCs/>
        </w:rPr>
        <w:t xml:space="preserve">SHOW ALL </w:t>
      </w:r>
      <w:r w:rsidR="00C4564F" w:rsidRPr="008B1D5F">
        <w:rPr>
          <w:b/>
          <w:bCs/>
        </w:rPr>
        <w:t>(e.g.,</w:t>
      </w:r>
      <w:r w:rsidR="00C4564F" w:rsidRPr="00C4564F">
        <w:t> </w:t>
      </w:r>
      <w:r w:rsidR="00C4564F" w:rsidRPr="00C4564F">
        <w:rPr>
          <w:i/>
          <w:iCs/>
        </w:rPr>
        <w:t>Aspergillus</w:t>
      </w:r>
      <w:r w:rsidR="00C4564F" w:rsidRPr="00C4564F">
        <w:t>, </w:t>
      </w:r>
      <w:proofErr w:type="spellStart"/>
      <w:r w:rsidR="00C4564F" w:rsidRPr="00C4564F">
        <w:rPr>
          <w:i/>
          <w:iCs/>
        </w:rPr>
        <w:t>Microsporum</w:t>
      </w:r>
      <w:proofErr w:type="spellEnd"/>
      <w:r w:rsidR="00C4564F" w:rsidRPr="00C4564F">
        <w:rPr>
          <w:i/>
          <w:iCs/>
        </w:rPr>
        <w:t xml:space="preserve"> </w:t>
      </w:r>
      <w:proofErr w:type="spellStart"/>
      <w:r w:rsidR="00C4564F" w:rsidRPr="00C4564F">
        <w:rPr>
          <w:i/>
          <w:iCs/>
        </w:rPr>
        <w:t>canis</w:t>
      </w:r>
      <w:proofErr w:type="spellEnd"/>
      <w:r w:rsidR="00C4564F" w:rsidRPr="00C4564F">
        <w:t>).</w:t>
      </w:r>
    </w:p>
    <w:p w14:paraId="4D92F1F0" w14:textId="6CDF55A9" w:rsidR="008B1D5F" w:rsidRPr="00C4564F" w:rsidRDefault="008B1D5F" w:rsidP="008B1D5F">
      <w:pPr>
        <w:numPr>
          <w:ilvl w:val="2"/>
          <w:numId w:val="6"/>
        </w:numPr>
      </w:pPr>
      <w:r>
        <w:t xml:space="preserve">NOTE: Do not meta the fungus this will cause negative side effects. </w:t>
      </w:r>
      <w:proofErr w:type="spellStart"/>
      <w:r>
        <w:t>Creat</w:t>
      </w:r>
      <w:proofErr w:type="spellEnd"/>
      <w:r>
        <w:t xml:space="preserve"> a remedy plan for the fungus that repeats in each organ.</w:t>
      </w:r>
    </w:p>
    <w:p w14:paraId="076ED244" w14:textId="3140EA47" w:rsidR="00C4564F" w:rsidRPr="00C4564F" w:rsidRDefault="00C4564F" w:rsidP="00C4564F">
      <w:pPr>
        <w:numPr>
          <w:ilvl w:val="0"/>
          <w:numId w:val="6"/>
        </w:numPr>
      </w:pPr>
      <w:r w:rsidRPr="00C4564F">
        <w:t>Then address </w:t>
      </w:r>
      <w:r w:rsidRPr="00C4564F">
        <w:rPr>
          <w:b/>
          <w:bCs/>
        </w:rPr>
        <w:t>viral</w:t>
      </w:r>
      <w:r w:rsidRPr="00C4564F">
        <w:t> imbalances (e.g., </w:t>
      </w:r>
      <w:r w:rsidRPr="00C4564F">
        <w:rPr>
          <w:i/>
          <w:iCs/>
        </w:rPr>
        <w:t>Adenovirus</w:t>
      </w:r>
      <w:r w:rsidRPr="00C4564F">
        <w:t>)</w:t>
      </w:r>
      <w:r w:rsidR="006237AE">
        <w:t xml:space="preserve">, Herpes Simplex, </w:t>
      </w:r>
      <w:proofErr w:type="spellStart"/>
      <w:r w:rsidR="006237AE">
        <w:t>etc</w:t>
      </w:r>
      <w:proofErr w:type="spellEnd"/>
      <w:r w:rsidR="006237AE">
        <w:t>)</w:t>
      </w:r>
    </w:p>
    <w:p w14:paraId="41852736" w14:textId="77777777" w:rsidR="00C4564F" w:rsidRPr="00C4564F" w:rsidRDefault="00C4564F" w:rsidP="00C4564F">
      <w:pPr>
        <w:numPr>
          <w:ilvl w:val="0"/>
          <w:numId w:val="6"/>
        </w:numPr>
      </w:pPr>
      <w:r w:rsidRPr="00C4564F">
        <w:t>Build remedy plans in this order:</w:t>
      </w:r>
    </w:p>
    <w:p w14:paraId="2C3E1869" w14:textId="532F7637" w:rsidR="00C4564F" w:rsidRDefault="00C4564F" w:rsidP="00C4564F">
      <w:pPr>
        <w:numPr>
          <w:ilvl w:val="1"/>
          <w:numId w:val="6"/>
        </w:numPr>
      </w:pPr>
      <w:r w:rsidRPr="00C4564F">
        <w:t xml:space="preserve">Head Frontal Cross-Section → Fungus → </w:t>
      </w:r>
      <w:r w:rsidR="00EB677D">
        <w:t>Bacteria</w:t>
      </w:r>
      <w:r w:rsidR="00EB677D" w:rsidRPr="00C4564F">
        <w:t xml:space="preserve"> → </w:t>
      </w:r>
      <w:r w:rsidRPr="00C4564F">
        <w:t>Virus.</w:t>
      </w:r>
    </w:p>
    <w:p w14:paraId="0E1A1E57" w14:textId="54420D50" w:rsidR="006237AE" w:rsidRPr="00C4564F" w:rsidRDefault="006237AE" w:rsidP="006237AE">
      <w:pPr>
        <w:numPr>
          <w:ilvl w:val="1"/>
          <w:numId w:val="6"/>
        </w:numPr>
      </w:pPr>
      <w:r>
        <w:t>Neurocyte</w:t>
      </w:r>
      <w:r w:rsidRPr="00C4564F">
        <w:t xml:space="preserve"> → Fungus → </w:t>
      </w:r>
      <w:r>
        <w:t>Bacteria</w:t>
      </w:r>
      <w:r w:rsidRPr="00C4564F">
        <w:t xml:space="preserve"> → Virus.</w:t>
      </w:r>
    </w:p>
    <w:p w14:paraId="653B4D28" w14:textId="77777777" w:rsidR="00C4564F" w:rsidRPr="00C4564F" w:rsidRDefault="00C4564F" w:rsidP="00C4564F">
      <w:pPr>
        <w:rPr>
          <w:b/>
          <w:bCs/>
        </w:rPr>
      </w:pPr>
      <w:r w:rsidRPr="00C4564F">
        <w:rPr>
          <w:b/>
          <w:bCs/>
        </w:rPr>
        <w:t>Step 3: Remedy Topics</w:t>
      </w:r>
    </w:p>
    <w:p w14:paraId="2F0BEFA5" w14:textId="77777777" w:rsidR="00C4564F" w:rsidRPr="00C4564F" w:rsidRDefault="00C4564F" w:rsidP="00C4564F">
      <w:r w:rsidRPr="00C4564F">
        <w:t>Use the following categories:</w:t>
      </w:r>
    </w:p>
    <w:p w14:paraId="77F546EF" w14:textId="77777777" w:rsidR="00C4564F" w:rsidRPr="00C4564F" w:rsidRDefault="00C4564F" w:rsidP="00C4564F">
      <w:pPr>
        <w:numPr>
          <w:ilvl w:val="0"/>
          <w:numId w:val="7"/>
        </w:numPr>
      </w:pPr>
      <w:r w:rsidRPr="00C4564F">
        <w:rPr>
          <w:b/>
          <w:bCs/>
        </w:rPr>
        <w:t>(INV) Biochemical Homeostasis</w:t>
      </w:r>
      <w:r w:rsidRPr="00C4564F">
        <w:t> (up to 7 items under 0.6 dispersion)</w:t>
      </w:r>
    </w:p>
    <w:p w14:paraId="17AF2F4B" w14:textId="77777777" w:rsidR="00C4564F" w:rsidRPr="00C4564F" w:rsidRDefault="00C4564F" w:rsidP="00C4564F">
      <w:pPr>
        <w:numPr>
          <w:ilvl w:val="0"/>
          <w:numId w:val="7"/>
        </w:numPr>
      </w:pPr>
      <w:r w:rsidRPr="00C4564F">
        <w:rPr>
          <w:b/>
          <w:bCs/>
        </w:rPr>
        <w:t>Allopathy</w:t>
      </w:r>
      <w:r w:rsidRPr="00C4564F">
        <w:t> and </w:t>
      </w:r>
      <w:r w:rsidRPr="00C4564F">
        <w:rPr>
          <w:b/>
          <w:bCs/>
        </w:rPr>
        <w:t>Homeopathy</w:t>
      </w:r>
    </w:p>
    <w:p w14:paraId="36B61C73" w14:textId="50D1995B" w:rsidR="00C4564F" w:rsidRPr="00C4564F" w:rsidRDefault="006237AE" w:rsidP="00C4564F">
      <w:pPr>
        <w:numPr>
          <w:ilvl w:val="0"/>
          <w:numId w:val="7"/>
        </w:numPr>
      </w:pPr>
      <w:r>
        <w:rPr>
          <w:b/>
          <w:bCs/>
        </w:rPr>
        <w:t xml:space="preserve">(INV) </w:t>
      </w:r>
      <w:r w:rsidR="00C4564F" w:rsidRPr="00C4564F">
        <w:rPr>
          <w:b/>
          <w:bCs/>
        </w:rPr>
        <w:t>Trace Elements</w:t>
      </w:r>
      <w:r w:rsidR="00C4564F" w:rsidRPr="00C4564F">
        <w:t> and </w:t>
      </w:r>
      <w:r>
        <w:rPr>
          <w:b/>
          <w:bCs/>
        </w:rPr>
        <w:t xml:space="preserve">(INV) </w:t>
      </w:r>
      <w:r w:rsidR="00C4564F" w:rsidRPr="00C4564F">
        <w:rPr>
          <w:b/>
          <w:bCs/>
        </w:rPr>
        <w:t>Allergens</w:t>
      </w:r>
    </w:p>
    <w:p w14:paraId="036E3735" w14:textId="3F31CE65" w:rsidR="00C4564F" w:rsidRPr="00C4564F" w:rsidRDefault="006237AE" w:rsidP="00C4564F">
      <w:pPr>
        <w:numPr>
          <w:ilvl w:val="0"/>
          <w:numId w:val="7"/>
        </w:numPr>
      </w:pPr>
      <w:r>
        <w:rPr>
          <w:b/>
          <w:bCs/>
        </w:rPr>
        <w:t xml:space="preserve">(INV) </w:t>
      </w:r>
      <w:r w:rsidR="00C4564F" w:rsidRPr="00C4564F">
        <w:rPr>
          <w:b/>
          <w:bCs/>
        </w:rPr>
        <w:t>Pathology</w:t>
      </w:r>
      <w:r w:rsidR="00C4564F" w:rsidRPr="00C4564F">
        <w:t> and </w:t>
      </w:r>
      <w:r>
        <w:rPr>
          <w:b/>
          <w:bCs/>
        </w:rPr>
        <w:t xml:space="preserve">(INV) </w:t>
      </w:r>
      <w:r w:rsidR="00C4564F" w:rsidRPr="00C4564F">
        <w:rPr>
          <w:b/>
          <w:bCs/>
        </w:rPr>
        <w:t>Microorganisms</w:t>
      </w:r>
    </w:p>
    <w:p w14:paraId="36488E0C" w14:textId="77777777" w:rsidR="00C4564F" w:rsidRPr="00C4564F" w:rsidRDefault="00C4564F" w:rsidP="00C4564F">
      <w:pPr>
        <w:rPr>
          <w:b/>
          <w:bCs/>
        </w:rPr>
      </w:pPr>
      <w:r w:rsidRPr="00C4564F">
        <w:rPr>
          <w:b/>
          <w:bCs/>
        </w:rPr>
        <w:lastRenderedPageBreak/>
        <w:t>Step 4: Draw Count and Inversion</w:t>
      </w:r>
    </w:p>
    <w:p w14:paraId="187E3921" w14:textId="77777777" w:rsidR="00C4564F" w:rsidRPr="00C4564F" w:rsidRDefault="00C4564F" w:rsidP="00C4564F">
      <w:pPr>
        <w:numPr>
          <w:ilvl w:val="0"/>
          <w:numId w:val="8"/>
        </w:numPr>
      </w:pPr>
      <w:r w:rsidRPr="00C4564F">
        <w:rPr>
          <w:b/>
          <w:bCs/>
        </w:rPr>
        <w:t>Balanced Remedies:</w:t>
      </w:r>
      <w:r w:rsidRPr="00C4564F">
        <w:t> Do </w:t>
      </w:r>
      <w:r w:rsidRPr="00C4564F">
        <w:rPr>
          <w:b/>
          <w:bCs/>
        </w:rPr>
        <w:t>not invert</w:t>
      </w:r>
      <w:r w:rsidRPr="00C4564F">
        <w:t>; use draw count </w:t>
      </w:r>
      <w:r w:rsidRPr="00C4564F">
        <w:rPr>
          <w:b/>
          <w:bCs/>
        </w:rPr>
        <w:t>500–1000</w:t>
      </w:r>
      <w:r w:rsidRPr="00C4564F">
        <w:t>.</w:t>
      </w:r>
    </w:p>
    <w:p w14:paraId="3D626781" w14:textId="05537F8E" w:rsidR="00C4564F" w:rsidRPr="00C4564F" w:rsidRDefault="00C4564F" w:rsidP="00C4564F">
      <w:pPr>
        <w:numPr>
          <w:ilvl w:val="0"/>
          <w:numId w:val="8"/>
        </w:numPr>
      </w:pPr>
      <w:r w:rsidRPr="00C4564F">
        <w:rPr>
          <w:b/>
          <w:bCs/>
        </w:rPr>
        <w:t>Inverted Remedies:</w:t>
      </w:r>
      <w:r w:rsidRPr="00C4564F">
        <w:t> </w:t>
      </w:r>
      <w:r w:rsidR="00EB677D">
        <w:rPr>
          <w:b/>
          <w:bCs/>
        </w:rPr>
        <w:t xml:space="preserve">Invert </w:t>
      </w:r>
      <w:r w:rsidR="00EB677D" w:rsidRPr="00C4564F">
        <w:t xml:space="preserve">→ </w:t>
      </w:r>
      <w:r w:rsidRPr="00C4564F">
        <w:t>Use draw count </w:t>
      </w:r>
      <w:r w:rsidRPr="00C4564F">
        <w:rPr>
          <w:b/>
          <w:bCs/>
        </w:rPr>
        <w:t>160–500</w:t>
      </w:r>
      <w:r w:rsidRPr="00C4564F">
        <w:t> for balancing.</w:t>
      </w:r>
    </w:p>
    <w:p w14:paraId="03298267" w14:textId="4D6EACB8" w:rsidR="00C4564F" w:rsidRPr="00C4564F" w:rsidRDefault="00C4564F" w:rsidP="00C4564F">
      <w:pPr>
        <w:numPr>
          <w:ilvl w:val="0"/>
          <w:numId w:val="8"/>
        </w:numPr>
      </w:pPr>
      <w:r w:rsidRPr="00C4564F">
        <w:t>For sensitive clients, start at </w:t>
      </w:r>
      <w:r w:rsidRPr="00C4564F">
        <w:rPr>
          <w:b/>
          <w:bCs/>
        </w:rPr>
        <w:t>100–500</w:t>
      </w:r>
      <w:r w:rsidRPr="00C4564F">
        <w:t>.</w:t>
      </w:r>
    </w:p>
    <w:p w14:paraId="6A7C6848" w14:textId="77777777" w:rsidR="00C4564F" w:rsidRPr="00C4564F" w:rsidRDefault="00C4564F" w:rsidP="00C4564F">
      <w:pPr>
        <w:rPr>
          <w:b/>
          <w:bCs/>
        </w:rPr>
      </w:pPr>
      <w:r w:rsidRPr="00C4564F">
        <w:rPr>
          <w:b/>
          <w:bCs/>
        </w:rPr>
        <w:t>Step 5: Mediums</w:t>
      </w:r>
    </w:p>
    <w:p w14:paraId="41B97B35" w14:textId="77777777" w:rsidR="00C4564F" w:rsidRPr="00C4564F" w:rsidRDefault="00C4564F" w:rsidP="00C4564F">
      <w:pPr>
        <w:numPr>
          <w:ilvl w:val="0"/>
          <w:numId w:val="9"/>
        </w:numPr>
      </w:pPr>
      <w:r w:rsidRPr="00C4564F">
        <w:t>Combine remedies into </w:t>
      </w:r>
      <w:r w:rsidRPr="00C4564F">
        <w:rPr>
          <w:b/>
          <w:bCs/>
        </w:rPr>
        <w:t>one bracelet</w:t>
      </w:r>
      <w:r w:rsidRPr="00C4564F">
        <w:t> or </w:t>
      </w:r>
      <w:r w:rsidRPr="00C4564F">
        <w:rPr>
          <w:b/>
          <w:bCs/>
        </w:rPr>
        <w:t>cream</w:t>
      </w:r>
      <w:r w:rsidRPr="00C4564F">
        <w:t> for simplicity.</w:t>
      </w:r>
    </w:p>
    <w:p w14:paraId="03B88410" w14:textId="511DAC73" w:rsidR="00C4564F" w:rsidRPr="00C4564F" w:rsidRDefault="00C4564F" w:rsidP="00C4564F">
      <w:pPr>
        <w:numPr>
          <w:ilvl w:val="0"/>
          <w:numId w:val="9"/>
        </w:numPr>
      </w:pPr>
      <w:r w:rsidRPr="00C4564F">
        <w:t>Apply or wear </w:t>
      </w:r>
      <w:r w:rsidRPr="00C4564F">
        <w:rPr>
          <w:b/>
          <w:bCs/>
        </w:rPr>
        <w:t>daily</w:t>
      </w:r>
      <w:r w:rsidRPr="00C4564F">
        <w:t>; update every few weeks as needed.</w:t>
      </w:r>
    </w:p>
    <w:p w14:paraId="58AF0B30" w14:textId="77777777" w:rsidR="00C4564F" w:rsidRPr="00C4564F" w:rsidRDefault="00000000" w:rsidP="00C4564F">
      <w:r>
        <w:pict w14:anchorId="01DDB077">
          <v:rect id="_x0000_i1029" style="width:0;height:0" o:hralign="center" o:hrstd="t" o:hr="t" fillcolor="#a0a0a0" stroked="f"/>
        </w:pict>
      </w:r>
    </w:p>
    <w:p w14:paraId="4E4D252D" w14:textId="288F3C9A" w:rsidR="00C4564F" w:rsidRPr="00C4564F" w:rsidRDefault="00C4564F" w:rsidP="00C4564F">
      <w:pPr>
        <w:rPr>
          <w:b/>
          <w:bCs/>
        </w:rPr>
      </w:pPr>
      <w:r w:rsidRPr="00C4564F">
        <w:rPr>
          <w:b/>
          <w:bCs/>
        </w:rPr>
        <w:t>5. Nutritional and Biochemical Support</w:t>
      </w:r>
    </w:p>
    <w:p w14:paraId="0098090B" w14:textId="77777777" w:rsidR="00C4564F" w:rsidRDefault="00C4564F" w:rsidP="00C4564F">
      <w:pPr>
        <w:numPr>
          <w:ilvl w:val="0"/>
          <w:numId w:val="10"/>
        </w:numPr>
      </w:pPr>
      <w:r w:rsidRPr="00C4564F">
        <w:t>Support </w:t>
      </w:r>
      <w:r w:rsidRPr="00C4564F">
        <w:rPr>
          <w:b/>
          <w:bCs/>
        </w:rPr>
        <w:t>Vitamin B6 and B1</w:t>
      </w:r>
      <w:r w:rsidRPr="00C4564F">
        <w:t> metabolism to improve neurological function.</w:t>
      </w:r>
    </w:p>
    <w:p w14:paraId="51F1FA8C" w14:textId="3409A1F4" w:rsidR="00FD1AA8" w:rsidRPr="00C4564F" w:rsidRDefault="00FD1AA8" w:rsidP="00FD1AA8">
      <w:pPr>
        <w:numPr>
          <w:ilvl w:val="1"/>
          <w:numId w:val="10"/>
        </w:numPr>
      </w:pPr>
      <w:r>
        <w:t xml:space="preserve">Dr, Berg neurological damage: </w:t>
      </w:r>
      <w:hyperlink r:id="rId8" w:history="1">
        <w:r w:rsidRPr="00A3590F">
          <w:rPr>
            <w:rStyle w:val="Hyperlink"/>
          </w:rPr>
          <w:t>https://youtu.be/8OSlBn6qRqs?si=mRpjeEvu58pbRrQZ</w:t>
        </w:r>
      </w:hyperlink>
      <w:r>
        <w:t xml:space="preserve"> </w:t>
      </w:r>
    </w:p>
    <w:p w14:paraId="639F885E" w14:textId="6AFA8E33" w:rsidR="00C4564F" w:rsidRPr="00C4564F" w:rsidRDefault="00C4564F" w:rsidP="00C4564F">
      <w:pPr>
        <w:numPr>
          <w:ilvl w:val="0"/>
          <w:numId w:val="10"/>
        </w:numPr>
      </w:pPr>
      <w:r w:rsidRPr="00C4564F">
        <w:t>Address </w:t>
      </w:r>
      <w:r w:rsidRPr="00C4564F">
        <w:rPr>
          <w:b/>
          <w:bCs/>
        </w:rPr>
        <w:t>gallbladder and digestive health</w:t>
      </w:r>
      <w:r w:rsidRPr="00C4564F">
        <w:t>, as poor absorption of B vitamins can worsen nerve issues.</w:t>
      </w:r>
    </w:p>
    <w:p w14:paraId="7A3F5FC7" w14:textId="2EF04AF3" w:rsidR="00C4564F" w:rsidRPr="00C4564F" w:rsidRDefault="00C4564F" w:rsidP="00C4564F">
      <w:pPr>
        <w:numPr>
          <w:ilvl w:val="0"/>
          <w:numId w:val="10"/>
        </w:numPr>
      </w:pPr>
      <w:r w:rsidRPr="00C4564F">
        <w:t>Consider </w:t>
      </w:r>
      <w:r w:rsidRPr="00C4564F">
        <w:rPr>
          <w:b/>
          <w:bCs/>
        </w:rPr>
        <w:t>enzymes, vitamins, and detox support</w:t>
      </w:r>
      <w:r w:rsidRPr="00C4564F">
        <w:t> in remedy formulations.</w:t>
      </w:r>
    </w:p>
    <w:p w14:paraId="6C4A5498" w14:textId="77777777" w:rsidR="00C4564F" w:rsidRPr="00C4564F" w:rsidRDefault="00000000" w:rsidP="00C4564F">
      <w:r>
        <w:pict w14:anchorId="30C77449">
          <v:rect id="_x0000_i1030" style="width:0;height:0" o:hralign="center" o:hrstd="t" o:hr="t" fillcolor="#a0a0a0" stroked="f"/>
        </w:pict>
      </w:r>
    </w:p>
    <w:p w14:paraId="7A9C3C6F" w14:textId="00CE33FC" w:rsidR="00C4564F" w:rsidRPr="00C4564F" w:rsidRDefault="00C4564F" w:rsidP="00C4564F">
      <w:pPr>
        <w:rPr>
          <w:b/>
          <w:bCs/>
        </w:rPr>
      </w:pPr>
      <w:r w:rsidRPr="00C4564F">
        <w:rPr>
          <w:b/>
          <w:bCs/>
        </w:rPr>
        <w:t>6. Monitoring and Adjustments</w:t>
      </w:r>
    </w:p>
    <w:p w14:paraId="56C759D8" w14:textId="77777777" w:rsidR="00C4564F" w:rsidRPr="00C4564F" w:rsidRDefault="00C4564F" w:rsidP="00C4564F">
      <w:pPr>
        <w:numPr>
          <w:ilvl w:val="0"/>
          <w:numId w:val="11"/>
        </w:numPr>
      </w:pPr>
      <w:r w:rsidRPr="00C4564F">
        <w:rPr>
          <w:b/>
          <w:bCs/>
        </w:rPr>
        <w:t>Re-scan every 4 weeks</w:t>
      </w:r>
      <w:r w:rsidRPr="00C4564F">
        <w:t> to track dispersion changes.</w:t>
      </w:r>
    </w:p>
    <w:p w14:paraId="50E1FA59" w14:textId="31C40C29" w:rsidR="00C4564F" w:rsidRPr="00C4564F" w:rsidRDefault="00C4564F" w:rsidP="00C4564F">
      <w:pPr>
        <w:numPr>
          <w:ilvl w:val="0"/>
          <w:numId w:val="11"/>
        </w:numPr>
      </w:pPr>
      <w:r w:rsidRPr="00C4564F">
        <w:rPr>
          <w:b/>
          <w:bCs/>
        </w:rPr>
        <w:t>Document Results:</w:t>
      </w:r>
      <w:r w:rsidRPr="00C4564F">
        <w:t> </w:t>
      </w:r>
      <w:r w:rsidR="006237AE">
        <w:t>if dispersions are increasing – no need to adjust therapy plan</w:t>
      </w:r>
      <w:r w:rsidRPr="00C4564F">
        <w:t>.</w:t>
      </w:r>
    </w:p>
    <w:p w14:paraId="084E010D" w14:textId="77777777" w:rsidR="00C4564F" w:rsidRPr="00C4564F" w:rsidRDefault="00000000" w:rsidP="00C4564F">
      <w:r>
        <w:pict w14:anchorId="6EC4F10E">
          <v:rect id="_x0000_i1031" style="width:0;height:0" o:hralign="center" o:hrstd="t" o:hr="t" fillcolor="#a0a0a0" stroked="f"/>
        </w:pict>
      </w:r>
    </w:p>
    <w:p w14:paraId="338B0599" w14:textId="209B25D3" w:rsidR="00C4564F" w:rsidRPr="00C4564F" w:rsidRDefault="00C4564F" w:rsidP="00C4564F">
      <w:pPr>
        <w:rPr>
          <w:b/>
          <w:bCs/>
        </w:rPr>
      </w:pPr>
      <w:r w:rsidRPr="00C4564F">
        <w:rPr>
          <w:b/>
          <w:bCs/>
        </w:rPr>
        <w:t>7. Long-Term Maintenance</w:t>
      </w:r>
    </w:p>
    <w:p w14:paraId="7762890F" w14:textId="77777777" w:rsidR="00C4564F" w:rsidRPr="00C4564F" w:rsidRDefault="00C4564F" w:rsidP="00C4564F">
      <w:pPr>
        <w:numPr>
          <w:ilvl w:val="0"/>
          <w:numId w:val="12"/>
        </w:numPr>
      </w:pPr>
      <w:r w:rsidRPr="00C4564F">
        <w:t>Continue </w:t>
      </w:r>
      <w:r w:rsidRPr="00C4564F">
        <w:rPr>
          <w:b/>
          <w:bCs/>
        </w:rPr>
        <w:t>Meta by 5–10</w:t>
      </w:r>
      <w:r w:rsidRPr="00C4564F">
        <w:t> sessions 3–4 times weekly for maintenance.</w:t>
      </w:r>
    </w:p>
    <w:p w14:paraId="1A30F36C" w14:textId="77777777" w:rsidR="00C4564F" w:rsidRPr="00C4564F" w:rsidRDefault="00C4564F" w:rsidP="00C4564F">
      <w:pPr>
        <w:numPr>
          <w:ilvl w:val="0"/>
          <w:numId w:val="12"/>
        </w:numPr>
      </w:pPr>
      <w:r w:rsidRPr="00C4564F">
        <w:t>Reprint updated remedies monthly.</w:t>
      </w:r>
    </w:p>
    <w:p w14:paraId="62F72A28" w14:textId="77777777" w:rsidR="00C4564F" w:rsidRPr="00C4564F" w:rsidRDefault="00C4564F" w:rsidP="00C4564F">
      <w:pPr>
        <w:numPr>
          <w:ilvl w:val="0"/>
          <w:numId w:val="12"/>
        </w:numPr>
      </w:pPr>
      <w:r w:rsidRPr="00C4564F">
        <w:t>Encourage consistent use of remedy bracelets or creams.</w:t>
      </w:r>
    </w:p>
    <w:p w14:paraId="3F193C03" w14:textId="502D5B7E" w:rsidR="00C4564F" w:rsidRPr="00C4564F" w:rsidRDefault="00C4564F" w:rsidP="00C4564F">
      <w:pPr>
        <w:numPr>
          <w:ilvl w:val="0"/>
          <w:numId w:val="12"/>
        </w:numPr>
      </w:pPr>
      <w:r w:rsidRPr="00C4564F">
        <w:t>Support with </w:t>
      </w:r>
      <w:r w:rsidRPr="00C4564F">
        <w:rPr>
          <w:b/>
          <w:bCs/>
        </w:rPr>
        <w:t>digestive and circulatory health</w:t>
      </w:r>
      <w:r w:rsidRPr="00C4564F">
        <w:t> protocols for long-term neurological balance.</w:t>
      </w:r>
    </w:p>
    <w:p w14:paraId="4620261E" w14:textId="77777777" w:rsidR="00C4564F" w:rsidRPr="00C4564F" w:rsidRDefault="00000000" w:rsidP="00C4564F">
      <w:r>
        <w:pict w14:anchorId="1460A372">
          <v:rect id="_x0000_i1032" style="width:0;height:0" o:hralign="center" o:hrstd="t" o:hr="t" fillcolor="#a0a0a0" stroked="f"/>
        </w:pict>
      </w:r>
    </w:p>
    <w:p w14:paraId="5A631D5F" w14:textId="77C74F4E" w:rsidR="00C4564F" w:rsidRPr="00C4564F" w:rsidRDefault="00C4564F" w:rsidP="00C4564F">
      <w:pPr>
        <w:rPr>
          <w:b/>
          <w:bCs/>
        </w:rPr>
      </w:pPr>
      <w:r w:rsidRPr="00C4564F">
        <w:rPr>
          <w:b/>
          <w:bCs/>
        </w:rPr>
        <w:lastRenderedPageBreak/>
        <w:t>Summary Checklist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22"/>
        <w:gridCol w:w="6926"/>
        <w:gridCol w:w="2072"/>
      </w:tblGrid>
      <w:tr w:rsidR="00C4564F" w:rsidRPr="00C4564F" w14:paraId="0173D0E1" w14:textId="77777777" w:rsidTr="00EA2C99">
        <w:trPr>
          <w:tblHeader/>
        </w:trPr>
        <w:tc>
          <w:tcPr>
            <w:tcW w:w="0" w:type="auto"/>
            <w:shd w:val="clear" w:color="auto" w:fill="F9FAFB"/>
            <w:vAlign w:val="bottom"/>
            <w:hideMark/>
          </w:tcPr>
          <w:p w14:paraId="276AA280" w14:textId="77777777" w:rsidR="00C4564F" w:rsidRPr="00C4564F" w:rsidRDefault="00C4564F" w:rsidP="00C4564F">
            <w:pPr>
              <w:rPr>
                <w:b/>
                <w:bCs/>
              </w:rPr>
            </w:pPr>
            <w:r w:rsidRPr="00C4564F">
              <w:rPr>
                <w:b/>
                <w:bCs/>
              </w:rPr>
              <w:t>Step</w:t>
            </w:r>
          </w:p>
        </w:tc>
        <w:tc>
          <w:tcPr>
            <w:tcW w:w="0" w:type="auto"/>
            <w:shd w:val="clear" w:color="auto" w:fill="F9FAFB"/>
            <w:vAlign w:val="bottom"/>
            <w:hideMark/>
          </w:tcPr>
          <w:p w14:paraId="40E8CBF0" w14:textId="77777777" w:rsidR="00C4564F" w:rsidRPr="00C4564F" w:rsidRDefault="00C4564F" w:rsidP="00C4564F">
            <w:pPr>
              <w:rPr>
                <w:b/>
                <w:bCs/>
              </w:rPr>
            </w:pPr>
            <w:r w:rsidRPr="00C4564F">
              <w:rPr>
                <w:b/>
                <w:bCs/>
              </w:rPr>
              <w:t>Action</w:t>
            </w:r>
          </w:p>
        </w:tc>
        <w:tc>
          <w:tcPr>
            <w:tcW w:w="0" w:type="auto"/>
            <w:shd w:val="clear" w:color="auto" w:fill="FFFFFF"/>
            <w:vAlign w:val="bottom"/>
            <w:hideMark/>
          </w:tcPr>
          <w:p w14:paraId="3DE47BF2" w14:textId="77777777" w:rsidR="00C4564F" w:rsidRPr="00C4564F" w:rsidRDefault="00C4564F" w:rsidP="00C4564F">
            <w:pPr>
              <w:rPr>
                <w:b/>
                <w:bCs/>
              </w:rPr>
            </w:pPr>
            <w:r w:rsidRPr="00C4564F">
              <w:rPr>
                <w:b/>
                <w:bCs/>
              </w:rPr>
              <w:t>Frequency</w:t>
            </w:r>
          </w:p>
        </w:tc>
      </w:tr>
      <w:tr w:rsidR="00C4564F" w:rsidRPr="00C4564F" w14:paraId="662630C5" w14:textId="77777777" w:rsidTr="00EA2C99">
        <w:tc>
          <w:tcPr>
            <w:tcW w:w="0" w:type="auto"/>
            <w:noWrap/>
            <w:tcMar>
              <w:top w:w="137" w:type="dxa"/>
              <w:left w:w="137" w:type="dxa"/>
              <w:bottom w:w="137" w:type="dxa"/>
              <w:right w:w="137" w:type="dxa"/>
            </w:tcMar>
            <w:vAlign w:val="bottom"/>
            <w:hideMark/>
          </w:tcPr>
          <w:p w14:paraId="5320F2AC" w14:textId="77777777" w:rsidR="00C4564F" w:rsidRPr="00C4564F" w:rsidRDefault="00C4564F" w:rsidP="00C4564F">
            <w:r w:rsidRPr="00C4564F">
              <w:t>1</w:t>
            </w:r>
          </w:p>
        </w:tc>
        <w:tc>
          <w:tcPr>
            <w:tcW w:w="0" w:type="auto"/>
            <w:noWrap/>
            <w:tcMar>
              <w:top w:w="137" w:type="dxa"/>
              <w:left w:w="137" w:type="dxa"/>
              <w:bottom w:w="137" w:type="dxa"/>
              <w:right w:w="137" w:type="dxa"/>
            </w:tcMar>
            <w:vAlign w:val="bottom"/>
            <w:hideMark/>
          </w:tcPr>
          <w:p w14:paraId="320A8D66" w14:textId="77777777" w:rsidR="00C4564F" w:rsidRPr="00C4564F" w:rsidRDefault="00C4564F" w:rsidP="00C4564F">
            <w:r w:rsidRPr="00C4564F">
              <w:t>Full body scan (dispersion 2.0)</w:t>
            </w:r>
          </w:p>
        </w:tc>
        <w:tc>
          <w:tcPr>
            <w:tcW w:w="0" w:type="auto"/>
            <w:noWrap/>
            <w:tcMar>
              <w:top w:w="137" w:type="dxa"/>
              <w:left w:w="137" w:type="dxa"/>
              <w:bottom w:w="137" w:type="dxa"/>
              <w:right w:w="137" w:type="dxa"/>
            </w:tcMar>
            <w:vAlign w:val="bottom"/>
            <w:hideMark/>
          </w:tcPr>
          <w:p w14:paraId="59DF49FC" w14:textId="4D703547" w:rsidR="00C4564F" w:rsidRPr="00C4564F" w:rsidRDefault="00EA2C99" w:rsidP="00C4564F">
            <w:r>
              <w:t>2-4 weeks</w:t>
            </w:r>
          </w:p>
        </w:tc>
      </w:tr>
      <w:tr w:rsidR="00C4564F" w:rsidRPr="00C4564F" w14:paraId="1BCDBD5F" w14:textId="77777777" w:rsidTr="00EA2C99">
        <w:tc>
          <w:tcPr>
            <w:tcW w:w="0" w:type="auto"/>
            <w:noWrap/>
            <w:tcMar>
              <w:top w:w="137" w:type="dxa"/>
              <w:left w:w="137" w:type="dxa"/>
              <w:bottom w:w="137" w:type="dxa"/>
              <w:right w:w="137" w:type="dxa"/>
            </w:tcMar>
            <w:vAlign w:val="bottom"/>
            <w:hideMark/>
          </w:tcPr>
          <w:p w14:paraId="6229E8CE" w14:textId="77777777" w:rsidR="00C4564F" w:rsidRPr="00C4564F" w:rsidRDefault="00C4564F" w:rsidP="00C4564F">
            <w:r w:rsidRPr="00C4564F">
              <w:t>2</w:t>
            </w:r>
          </w:p>
        </w:tc>
        <w:tc>
          <w:tcPr>
            <w:tcW w:w="0" w:type="auto"/>
            <w:noWrap/>
            <w:tcMar>
              <w:top w:w="137" w:type="dxa"/>
              <w:left w:w="137" w:type="dxa"/>
              <w:bottom w:w="137" w:type="dxa"/>
              <w:right w:w="137" w:type="dxa"/>
            </w:tcMar>
            <w:vAlign w:val="bottom"/>
            <w:hideMark/>
          </w:tcPr>
          <w:p w14:paraId="7CD50E9C" w14:textId="52EDD2F5" w:rsidR="00C4564F" w:rsidRPr="00C4564F" w:rsidRDefault="00C4564F" w:rsidP="00C4564F">
            <w:r w:rsidRPr="00C4564F">
              <w:t>Identify head frontal cross-section &amp; neuro</w:t>
            </w:r>
            <w:r w:rsidR="00EA2C99">
              <w:t>cy</w:t>
            </w:r>
            <w:r w:rsidRPr="00C4564F">
              <w:t>te</w:t>
            </w:r>
          </w:p>
        </w:tc>
        <w:tc>
          <w:tcPr>
            <w:tcW w:w="0" w:type="auto"/>
            <w:noWrap/>
            <w:tcMar>
              <w:top w:w="137" w:type="dxa"/>
              <w:left w:w="137" w:type="dxa"/>
              <w:bottom w:w="137" w:type="dxa"/>
              <w:right w:w="137" w:type="dxa"/>
            </w:tcMar>
            <w:vAlign w:val="bottom"/>
            <w:hideMark/>
          </w:tcPr>
          <w:p w14:paraId="149E6678" w14:textId="77777777" w:rsidR="00C4564F" w:rsidRPr="00C4564F" w:rsidRDefault="00C4564F" w:rsidP="00C4564F">
            <w:r w:rsidRPr="00C4564F">
              <w:t>Each scan</w:t>
            </w:r>
          </w:p>
        </w:tc>
      </w:tr>
      <w:tr w:rsidR="00C4564F" w:rsidRPr="00C4564F" w14:paraId="102145DF" w14:textId="77777777" w:rsidTr="00EA2C99">
        <w:tc>
          <w:tcPr>
            <w:tcW w:w="0" w:type="auto"/>
            <w:noWrap/>
            <w:tcMar>
              <w:top w:w="137" w:type="dxa"/>
              <w:left w:w="137" w:type="dxa"/>
              <w:bottom w:w="137" w:type="dxa"/>
              <w:right w:w="137" w:type="dxa"/>
            </w:tcMar>
            <w:vAlign w:val="bottom"/>
            <w:hideMark/>
          </w:tcPr>
          <w:p w14:paraId="3EE6ACB2" w14:textId="77777777" w:rsidR="00C4564F" w:rsidRPr="00C4564F" w:rsidRDefault="00C4564F" w:rsidP="00C4564F">
            <w:r w:rsidRPr="00C4564F">
              <w:t>3</w:t>
            </w:r>
          </w:p>
        </w:tc>
        <w:tc>
          <w:tcPr>
            <w:tcW w:w="0" w:type="auto"/>
            <w:noWrap/>
            <w:tcMar>
              <w:top w:w="137" w:type="dxa"/>
              <w:left w:w="137" w:type="dxa"/>
              <w:bottom w:w="137" w:type="dxa"/>
              <w:right w:w="137" w:type="dxa"/>
            </w:tcMar>
            <w:vAlign w:val="bottom"/>
            <w:hideMark/>
          </w:tcPr>
          <w:p w14:paraId="327BF192" w14:textId="77777777" w:rsidR="00C4564F" w:rsidRPr="00C4564F" w:rsidRDefault="00C4564F" w:rsidP="00C4564F">
            <w:r w:rsidRPr="00C4564F">
              <w:t>Build Meta plan (Meta by 5–10)</w:t>
            </w:r>
          </w:p>
        </w:tc>
        <w:tc>
          <w:tcPr>
            <w:tcW w:w="0" w:type="auto"/>
            <w:noWrap/>
            <w:tcMar>
              <w:top w:w="137" w:type="dxa"/>
              <w:left w:w="137" w:type="dxa"/>
              <w:bottom w:w="137" w:type="dxa"/>
              <w:right w:w="137" w:type="dxa"/>
            </w:tcMar>
            <w:vAlign w:val="bottom"/>
            <w:hideMark/>
          </w:tcPr>
          <w:p w14:paraId="57EF3DC3" w14:textId="77777777" w:rsidR="00C4564F" w:rsidRPr="00C4564F" w:rsidRDefault="00C4564F" w:rsidP="00C4564F">
            <w:r w:rsidRPr="00C4564F">
              <w:t>4–5× weekly</w:t>
            </w:r>
          </w:p>
        </w:tc>
      </w:tr>
      <w:tr w:rsidR="00C4564F" w:rsidRPr="00C4564F" w14:paraId="4CAB73EF" w14:textId="77777777" w:rsidTr="00EA2C99">
        <w:tc>
          <w:tcPr>
            <w:tcW w:w="0" w:type="auto"/>
            <w:noWrap/>
            <w:tcMar>
              <w:top w:w="137" w:type="dxa"/>
              <w:left w:w="137" w:type="dxa"/>
              <w:bottom w:w="137" w:type="dxa"/>
              <w:right w:w="137" w:type="dxa"/>
            </w:tcMar>
            <w:vAlign w:val="bottom"/>
            <w:hideMark/>
          </w:tcPr>
          <w:p w14:paraId="6782424B" w14:textId="77777777" w:rsidR="00C4564F" w:rsidRPr="00C4564F" w:rsidRDefault="00C4564F" w:rsidP="00C4564F">
            <w:r w:rsidRPr="00C4564F">
              <w:t>4</w:t>
            </w:r>
          </w:p>
        </w:tc>
        <w:tc>
          <w:tcPr>
            <w:tcW w:w="0" w:type="auto"/>
            <w:noWrap/>
            <w:tcMar>
              <w:top w:w="137" w:type="dxa"/>
              <w:left w:w="137" w:type="dxa"/>
              <w:bottom w:w="137" w:type="dxa"/>
              <w:right w:w="137" w:type="dxa"/>
            </w:tcMar>
            <w:vAlign w:val="bottom"/>
            <w:hideMark/>
          </w:tcPr>
          <w:p w14:paraId="0B361FA0" w14:textId="77777777" w:rsidR="00C4564F" w:rsidRPr="00C4564F" w:rsidRDefault="00C4564F" w:rsidP="00C4564F">
            <w:r w:rsidRPr="00C4564F">
              <w:t>Remedy plan (fungus → virus → organ)</w:t>
            </w:r>
          </w:p>
        </w:tc>
        <w:tc>
          <w:tcPr>
            <w:tcW w:w="0" w:type="auto"/>
            <w:noWrap/>
            <w:tcMar>
              <w:top w:w="137" w:type="dxa"/>
              <w:left w:w="137" w:type="dxa"/>
              <w:bottom w:w="137" w:type="dxa"/>
              <w:right w:w="137" w:type="dxa"/>
            </w:tcMar>
            <w:vAlign w:val="bottom"/>
            <w:hideMark/>
          </w:tcPr>
          <w:p w14:paraId="3667F193" w14:textId="77777777" w:rsidR="00C4564F" w:rsidRPr="00C4564F" w:rsidRDefault="00C4564F" w:rsidP="00C4564F">
            <w:r w:rsidRPr="00C4564F">
              <w:t>3× weekly</w:t>
            </w:r>
          </w:p>
        </w:tc>
      </w:tr>
      <w:tr w:rsidR="00C4564F" w:rsidRPr="00C4564F" w14:paraId="6024315B" w14:textId="77777777" w:rsidTr="00EA2C99">
        <w:tc>
          <w:tcPr>
            <w:tcW w:w="0" w:type="auto"/>
            <w:noWrap/>
            <w:tcMar>
              <w:top w:w="137" w:type="dxa"/>
              <w:left w:w="137" w:type="dxa"/>
              <w:bottom w:w="137" w:type="dxa"/>
              <w:right w:w="137" w:type="dxa"/>
            </w:tcMar>
            <w:vAlign w:val="bottom"/>
            <w:hideMark/>
          </w:tcPr>
          <w:p w14:paraId="688B885D" w14:textId="77777777" w:rsidR="00C4564F" w:rsidRPr="00C4564F" w:rsidRDefault="00C4564F" w:rsidP="00C4564F">
            <w:r w:rsidRPr="00C4564F">
              <w:t>5</w:t>
            </w:r>
          </w:p>
        </w:tc>
        <w:tc>
          <w:tcPr>
            <w:tcW w:w="0" w:type="auto"/>
            <w:noWrap/>
            <w:tcMar>
              <w:top w:w="137" w:type="dxa"/>
              <w:left w:w="137" w:type="dxa"/>
              <w:bottom w:w="137" w:type="dxa"/>
              <w:right w:w="137" w:type="dxa"/>
            </w:tcMar>
            <w:vAlign w:val="bottom"/>
            <w:hideMark/>
          </w:tcPr>
          <w:p w14:paraId="4BFB513E" w14:textId="77777777" w:rsidR="00C4564F" w:rsidRPr="00C4564F" w:rsidRDefault="00C4564F" w:rsidP="00C4564F">
            <w:r w:rsidRPr="00C4564F">
              <w:t>Nutritional support (B vitamins, enzymes)</w:t>
            </w:r>
          </w:p>
        </w:tc>
        <w:tc>
          <w:tcPr>
            <w:tcW w:w="0" w:type="auto"/>
            <w:noWrap/>
            <w:tcMar>
              <w:top w:w="137" w:type="dxa"/>
              <w:left w:w="137" w:type="dxa"/>
              <w:bottom w:w="137" w:type="dxa"/>
              <w:right w:w="137" w:type="dxa"/>
            </w:tcMar>
            <w:vAlign w:val="bottom"/>
            <w:hideMark/>
          </w:tcPr>
          <w:p w14:paraId="0368A23A" w14:textId="77777777" w:rsidR="00C4564F" w:rsidRPr="00C4564F" w:rsidRDefault="00C4564F" w:rsidP="00C4564F">
            <w:r w:rsidRPr="00C4564F">
              <w:t>Daily</w:t>
            </w:r>
          </w:p>
        </w:tc>
      </w:tr>
    </w:tbl>
    <w:p w14:paraId="5D423792" w14:textId="77777777" w:rsidR="001734A6" w:rsidRDefault="001734A6"/>
    <w:sectPr w:rsidR="001734A6">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4CE4F" w14:textId="77777777" w:rsidR="000504D3" w:rsidRDefault="000504D3" w:rsidP="008B1D5F">
      <w:pPr>
        <w:spacing w:after="0" w:line="240" w:lineRule="auto"/>
      </w:pPr>
      <w:r>
        <w:separator/>
      </w:r>
    </w:p>
  </w:endnote>
  <w:endnote w:type="continuationSeparator" w:id="0">
    <w:p w14:paraId="29673A47" w14:textId="77777777" w:rsidR="000504D3" w:rsidRDefault="000504D3" w:rsidP="008B1D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4063489"/>
      <w:docPartObj>
        <w:docPartGallery w:val="Page Numbers (Bottom of Page)"/>
        <w:docPartUnique/>
      </w:docPartObj>
    </w:sdtPr>
    <w:sdtEndPr>
      <w:rPr>
        <w:color w:val="7F7F7F" w:themeColor="background1" w:themeShade="7F"/>
        <w:spacing w:val="60"/>
      </w:rPr>
    </w:sdtEndPr>
    <w:sdtContent>
      <w:p w14:paraId="59A9A283" w14:textId="3BA1CD8C" w:rsidR="008B1D5F" w:rsidRDefault="008B1D5F">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5B1F4017" w14:textId="77777777" w:rsidR="008B1D5F" w:rsidRDefault="008B1D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6F624" w14:textId="77777777" w:rsidR="000504D3" w:rsidRDefault="000504D3" w:rsidP="008B1D5F">
      <w:pPr>
        <w:spacing w:after="0" w:line="240" w:lineRule="auto"/>
      </w:pPr>
      <w:r>
        <w:separator/>
      </w:r>
    </w:p>
  </w:footnote>
  <w:footnote w:type="continuationSeparator" w:id="0">
    <w:p w14:paraId="090658CC" w14:textId="77777777" w:rsidR="000504D3" w:rsidRDefault="000504D3" w:rsidP="008B1D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F75A1" w14:textId="5F88DCD2" w:rsidR="008B1D5F" w:rsidRDefault="008B1D5F">
    <w:pPr>
      <w:pStyle w:val="Header"/>
    </w:pPr>
    <w:r>
      <w:t>Enter Balancing Rays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A32A6"/>
    <w:multiLevelType w:val="multilevel"/>
    <w:tmpl w:val="891C8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476E8B"/>
    <w:multiLevelType w:val="multilevel"/>
    <w:tmpl w:val="3EF47F0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884E6E"/>
    <w:multiLevelType w:val="multilevel"/>
    <w:tmpl w:val="12D24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2442B3"/>
    <w:multiLevelType w:val="multilevel"/>
    <w:tmpl w:val="16DC5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63D4E30"/>
    <w:multiLevelType w:val="multilevel"/>
    <w:tmpl w:val="B014703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B5831E8"/>
    <w:multiLevelType w:val="multilevel"/>
    <w:tmpl w:val="A19C5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30C4024"/>
    <w:multiLevelType w:val="multilevel"/>
    <w:tmpl w:val="BA783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B0038F"/>
    <w:multiLevelType w:val="multilevel"/>
    <w:tmpl w:val="811A6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1106674"/>
    <w:multiLevelType w:val="multilevel"/>
    <w:tmpl w:val="5C1E4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5536507"/>
    <w:multiLevelType w:val="multilevel"/>
    <w:tmpl w:val="F1028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0FB242D"/>
    <w:multiLevelType w:val="multilevel"/>
    <w:tmpl w:val="154C894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42A3616"/>
    <w:multiLevelType w:val="multilevel"/>
    <w:tmpl w:val="669E1B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31966491">
    <w:abstractNumId w:val="10"/>
  </w:num>
  <w:num w:numId="2" w16cid:durableId="549541332">
    <w:abstractNumId w:val="0"/>
  </w:num>
  <w:num w:numId="3" w16cid:durableId="979849592">
    <w:abstractNumId w:val="8"/>
  </w:num>
  <w:num w:numId="4" w16cid:durableId="135101113">
    <w:abstractNumId w:val="3"/>
  </w:num>
  <w:num w:numId="5" w16cid:durableId="1204051056">
    <w:abstractNumId w:val="9"/>
  </w:num>
  <w:num w:numId="6" w16cid:durableId="1477725811">
    <w:abstractNumId w:val="1"/>
  </w:num>
  <w:num w:numId="7" w16cid:durableId="255022119">
    <w:abstractNumId w:val="7"/>
  </w:num>
  <w:num w:numId="8" w16cid:durableId="159932947">
    <w:abstractNumId w:val="2"/>
  </w:num>
  <w:num w:numId="9" w16cid:durableId="1268854132">
    <w:abstractNumId w:val="5"/>
  </w:num>
  <w:num w:numId="10" w16cid:durableId="1943219134">
    <w:abstractNumId w:val="11"/>
  </w:num>
  <w:num w:numId="11" w16cid:durableId="1056976954">
    <w:abstractNumId w:val="4"/>
  </w:num>
  <w:num w:numId="12" w16cid:durableId="10383587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64F"/>
    <w:rsid w:val="000504D3"/>
    <w:rsid w:val="001734A6"/>
    <w:rsid w:val="003F7F95"/>
    <w:rsid w:val="005539D2"/>
    <w:rsid w:val="006237AE"/>
    <w:rsid w:val="007F4F02"/>
    <w:rsid w:val="008B1D5F"/>
    <w:rsid w:val="00A85215"/>
    <w:rsid w:val="00AC3DFE"/>
    <w:rsid w:val="00C4564F"/>
    <w:rsid w:val="00CA7F5A"/>
    <w:rsid w:val="00EA2C99"/>
    <w:rsid w:val="00EB677D"/>
    <w:rsid w:val="00F52864"/>
    <w:rsid w:val="00FD1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AF8BD"/>
  <w15:chartTrackingRefBased/>
  <w15:docId w15:val="{BA0BFA0C-0F4A-4FFF-BE8E-D811521EA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56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56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56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56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56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56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56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56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56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56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56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56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56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56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56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56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56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564F"/>
    <w:rPr>
      <w:rFonts w:eastAsiaTheme="majorEastAsia" w:cstheme="majorBidi"/>
      <w:color w:val="272727" w:themeColor="text1" w:themeTint="D8"/>
    </w:rPr>
  </w:style>
  <w:style w:type="paragraph" w:styleId="Title">
    <w:name w:val="Title"/>
    <w:basedOn w:val="Normal"/>
    <w:next w:val="Normal"/>
    <w:link w:val="TitleChar"/>
    <w:uiPriority w:val="10"/>
    <w:qFormat/>
    <w:rsid w:val="00C456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56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56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56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564F"/>
    <w:pPr>
      <w:spacing w:before="160"/>
      <w:jc w:val="center"/>
    </w:pPr>
    <w:rPr>
      <w:i/>
      <w:iCs/>
      <w:color w:val="404040" w:themeColor="text1" w:themeTint="BF"/>
    </w:rPr>
  </w:style>
  <w:style w:type="character" w:customStyle="1" w:styleId="QuoteChar">
    <w:name w:val="Quote Char"/>
    <w:basedOn w:val="DefaultParagraphFont"/>
    <w:link w:val="Quote"/>
    <w:uiPriority w:val="29"/>
    <w:rsid w:val="00C4564F"/>
    <w:rPr>
      <w:i/>
      <w:iCs/>
      <w:color w:val="404040" w:themeColor="text1" w:themeTint="BF"/>
    </w:rPr>
  </w:style>
  <w:style w:type="paragraph" w:styleId="ListParagraph">
    <w:name w:val="List Paragraph"/>
    <w:basedOn w:val="Normal"/>
    <w:uiPriority w:val="34"/>
    <w:qFormat/>
    <w:rsid w:val="00C4564F"/>
    <w:pPr>
      <w:ind w:left="720"/>
      <w:contextualSpacing/>
    </w:pPr>
  </w:style>
  <w:style w:type="character" w:styleId="IntenseEmphasis">
    <w:name w:val="Intense Emphasis"/>
    <w:basedOn w:val="DefaultParagraphFont"/>
    <w:uiPriority w:val="21"/>
    <w:qFormat/>
    <w:rsid w:val="00C4564F"/>
    <w:rPr>
      <w:i/>
      <w:iCs/>
      <w:color w:val="0F4761" w:themeColor="accent1" w:themeShade="BF"/>
    </w:rPr>
  </w:style>
  <w:style w:type="paragraph" w:styleId="IntenseQuote">
    <w:name w:val="Intense Quote"/>
    <w:basedOn w:val="Normal"/>
    <w:next w:val="Normal"/>
    <w:link w:val="IntenseQuoteChar"/>
    <w:uiPriority w:val="30"/>
    <w:qFormat/>
    <w:rsid w:val="00C456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564F"/>
    <w:rPr>
      <w:i/>
      <w:iCs/>
      <w:color w:val="0F4761" w:themeColor="accent1" w:themeShade="BF"/>
    </w:rPr>
  </w:style>
  <w:style w:type="character" w:styleId="IntenseReference">
    <w:name w:val="Intense Reference"/>
    <w:basedOn w:val="DefaultParagraphFont"/>
    <w:uiPriority w:val="32"/>
    <w:qFormat/>
    <w:rsid w:val="00C4564F"/>
    <w:rPr>
      <w:b/>
      <w:bCs/>
      <w:smallCaps/>
      <w:color w:val="0F4761" w:themeColor="accent1" w:themeShade="BF"/>
      <w:spacing w:val="5"/>
    </w:rPr>
  </w:style>
  <w:style w:type="paragraph" w:styleId="Header">
    <w:name w:val="header"/>
    <w:basedOn w:val="Normal"/>
    <w:link w:val="HeaderChar"/>
    <w:uiPriority w:val="99"/>
    <w:unhideWhenUsed/>
    <w:rsid w:val="008B1D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1D5F"/>
  </w:style>
  <w:style w:type="paragraph" w:styleId="Footer">
    <w:name w:val="footer"/>
    <w:basedOn w:val="Normal"/>
    <w:link w:val="FooterChar"/>
    <w:uiPriority w:val="99"/>
    <w:unhideWhenUsed/>
    <w:rsid w:val="008B1D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1D5F"/>
  </w:style>
  <w:style w:type="character" w:styleId="Hyperlink">
    <w:name w:val="Hyperlink"/>
    <w:basedOn w:val="DefaultParagraphFont"/>
    <w:uiPriority w:val="99"/>
    <w:unhideWhenUsed/>
    <w:rsid w:val="00FD1AA8"/>
    <w:rPr>
      <w:color w:val="467886" w:themeColor="hyperlink"/>
      <w:u w:val="single"/>
    </w:rPr>
  </w:style>
  <w:style w:type="character" w:styleId="UnresolvedMention">
    <w:name w:val="Unresolved Mention"/>
    <w:basedOn w:val="DefaultParagraphFont"/>
    <w:uiPriority w:val="99"/>
    <w:semiHidden/>
    <w:unhideWhenUsed/>
    <w:rsid w:val="00FD1A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8OSlBn6qRqs?si=mRpjeEvu58pbRrQZ"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298</TotalTime>
  <Pages>5</Pages>
  <Words>702</Words>
  <Characters>4055</Characters>
  <Application>Microsoft Office Word</Application>
  <DocSecurity>0</DocSecurity>
  <Lines>144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sabourin</dc:creator>
  <cp:keywords/>
  <dc:description/>
  <cp:lastModifiedBy>kimberly sabourin</cp:lastModifiedBy>
  <cp:revision>3</cp:revision>
  <dcterms:created xsi:type="dcterms:W3CDTF">2026-03-22T10:23:00Z</dcterms:created>
  <dcterms:modified xsi:type="dcterms:W3CDTF">2026-03-25T11:04:00Z</dcterms:modified>
</cp:coreProperties>
</file>