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6C3" w14:textId="4F5CAFF9" w:rsidR="001F4285" w:rsidRPr="001F4285" w:rsidRDefault="001F4285" w:rsidP="001F4285">
      <w:pPr>
        <w:rPr>
          <w:b/>
          <w:bCs/>
          <w:sz w:val="44"/>
          <w:szCs w:val="44"/>
        </w:rPr>
      </w:pPr>
      <w:r w:rsidRPr="00036DE0">
        <w:rPr>
          <w:b/>
          <w:bCs/>
          <w:noProof/>
          <w:sz w:val="44"/>
          <w:szCs w:val="44"/>
        </w:rPr>
        <w:drawing>
          <wp:anchor distT="0" distB="0" distL="114300" distR="114300" simplePos="0" relativeHeight="251658240" behindDoc="1" locked="0" layoutInCell="1" allowOverlap="1" wp14:anchorId="031E2DB8" wp14:editId="4E83A94B">
            <wp:simplePos x="0" y="0"/>
            <wp:positionH relativeFrom="margin">
              <wp:align>right</wp:align>
            </wp:positionH>
            <wp:positionV relativeFrom="paragraph">
              <wp:posOffset>9525</wp:posOffset>
            </wp:positionV>
            <wp:extent cx="1562100" cy="892175"/>
            <wp:effectExtent l="0" t="0" r="0" b="3175"/>
            <wp:wrapTight wrapText="bothSides">
              <wp:wrapPolygon edited="0">
                <wp:start x="0" y="0"/>
                <wp:lineTo x="0" y="21216"/>
                <wp:lineTo x="21337" y="21216"/>
                <wp:lineTo x="21337" y="0"/>
                <wp:lineTo x="0" y="0"/>
              </wp:wrapPolygon>
            </wp:wrapTight>
            <wp:docPr id="146073865" name="Picture 1" descr="A logo with a swirl of gold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3865" name="Picture 1" descr="A logo with a swirl of gold parti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892175"/>
                    </a:xfrm>
                    <a:prstGeom prst="rect">
                      <a:avLst/>
                    </a:prstGeom>
                  </pic:spPr>
                </pic:pic>
              </a:graphicData>
            </a:graphic>
            <wp14:sizeRelH relativeFrom="margin">
              <wp14:pctWidth>0</wp14:pctWidth>
            </wp14:sizeRelH>
            <wp14:sizeRelV relativeFrom="margin">
              <wp14:pctHeight>0</wp14:pctHeight>
            </wp14:sizeRelV>
          </wp:anchor>
        </w:drawing>
      </w:r>
      <w:r w:rsidRPr="001F4285">
        <w:rPr>
          <w:b/>
          <w:bCs/>
          <w:sz w:val="44"/>
          <w:szCs w:val="44"/>
        </w:rPr>
        <w:t>Oberon Teeth Care &amp; Preventative Meta Therapy Guide</w:t>
      </w:r>
    </w:p>
    <w:p w14:paraId="3D867B69" w14:textId="0BD0EEFC" w:rsidR="001F4285" w:rsidRDefault="00000000" w:rsidP="001F4285">
      <w:pPr>
        <w:rPr>
          <w:b/>
          <w:bCs/>
        </w:rPr>
      </w:pPr>
      <w:r>
        <w:rPr>
          <w:b/>
          <w:bCs/>
        </w:rPr>
        <w:pict w14:anchorId="6B392F1A">
          <v:rect id="_x0000_i1025" style="width:468pt;height:1.5pt" o:hralign="center" o:hrstd="t" o:hr="t" fillcolor="#a0a0a0" stroked="f"/>
        </w:pict>
      </w:r>
    </w:p>
    <w:p w14:paraId="27948A92" w14:textId="33396FE5" w:rsidR="001F4285" w:rsidRPr="001F4285" w:rsidRDefault="001F4285" w:rsidP="001F4285">
      <w:pPr>
        <w:rPr>
          <w:b/>
          <w:bCs/>
        </w:rPr>
      </w:pPr>
      <w:r w:rsidRPr="001F4285">
        <w:rPr>
          <w:b/>
          <w:bCs/>
        </w:rPr>
        <w:t>Disclaimer</w:t>
      </w:r>
    </w:p>
    <w:p w14:paraId="0894C7AD" w14:textId="77777777" w:rsidR="001F4285" w:rsidRPr="001F4285" w:rsidRDefault="001F4285" w:rsidP="001F4285">
      <w:pPr>
        <w:rPr>
          <w:b/>
          <w:bCs/>
        </w:rPr>
      </w:pPr>
      <w:r w:rsidRPr="001F4285">
        <w:t xml:space="preserve">This training from </w:t>
      </w:r>
      <w:r w:rsidRPr="001F4285">
        <w:rPr>
          <w:i/>
          <w:iCs/>
        </w:rPr>
        <w:t>Enter Balancing Rays</w:t>
      </w:r>
      <w:r w:rsidRPr="001F4285">
        <w:t xml:space="preserve"> is for educational and entertainment purposes only. It does not provide medical advice and is not intended to diagnose, treat, or cure any condition. Use of this information is at your own discretion and risk.</w:t>
      </w:r>
    </w:p>
    <w:p w14:paraId="4EBCFA02" w14:textId="77777777" w:rsidR="001F4285" w:rsidRPr="001F4285" w:rsidRDefault="00000000" w:rsidP="001F4285">
      <w:pPr>
        <w:rPr>
          <w:b/>
          <w:bCs/>
        </w:rPr>
      </w:pPr>
      <w:r>
        <w:rPr>
          <w:b/>
          <w:bCs/>
        </w:rPr>
        <w:pict w14:anchorId="3046CF89">
          <v:rect id="_x0000_i1026" style="width:468pt;height:1.5pt" o:hralign="center" o:hrstd="t" o:hr="t" fillcolor="#a0a0a0" stroked="f"/>
        </w:pict>
      </w:r>
    </w:p>
    <w:p w14:paraId="28D9D0B6" w14:textId="77777777" w:rsidR="00EE1814" w:rsidRPr="00EE1814" w:rsidRDefault="00EE1814" w:rsidP="00EE1814">
      <w:pPr>
        <w:rPr>
          <w:b/>
          <w:bCs/>
        </w:rPr>
      </w:pPr>
      <w:r w:rsidRPr="00EE1814">
        <w:rPr>
          <w:b/>
          <w:bCs/>
        </w:rPr>
        <w:t>Step 1 – Access Teeth in Oberon</w:t>
      </w:r>
    </w:p>
    <w:p w14:paraId="4728A2C5" w14:textId="77777777" w:rsidR="00EE1814" w:rsidRPr="00EE1814" w:rsidRDefault="00EE1814" w:rsidP="00EE1814">
      <w:pPr>
        <w:numPr>
          <w:ilvl w:val="0"/>
          <w:numId w:val="10"/>
        </w:numPr>
        <w:rPr>
          <w:b/>
          <w:bCs/>
        </w:rPr>
      </w:pPr>
      <w:r w:rsidRPr="00EE1814">
        <w:rPr>
          <w:b/>
          <w:bCs/>
        </w:rPr>
        <w:t>Ensure Show Region + Show Region Thumbs boxes (top middle of screen) are checked.</w:t>
      </w:r>
    </w:p>
    <w:p w14:paraId="7CF9326F" w14:textId="77777777" w:rsidR="00EE1814" w:rsidRPr="00EE1814" w:rsidRDefault="00EE1814" w:rsidP="00EE1814">
      <w:pPr>
        <w:numPr>
          <w:ilvl w:val="0"/>
          <w:numId w:val="10"/>
        </w:numPr>
        <w:rPr>
          <w:b/>
          <w:bCs/>
        </w:rPr>
      </w:pPr>
      <w:r w:rsidRPr="00EE1814">
        <w:rPr>
          <w:b/>
          <w:bCs/>
        </w:rPr>
        <w:t>Locate teeth scans in these areas:</w:t>
      </w:r>
    </w:p>
    <w:p w14:paraId="7F10C87A" w14:textId="77777777" w:rsidR="00EE1814" w:rsidRPr="00EE1814" w:rsidRDefault="00EE1814" w:rsidP="00EE1814">
      <w:pPr>
        <w:numPr>
          <w:ilvl w:val="1"/>
          <w:numId w:val="10"/>
        </w:numPr>
      </w:pPr>
      <w:r w:rsidRPr="00EE1814">
        <w:t>Head Longitudinal Section – Right/Left → incisors.</w:t>
      </w:r>
    </w:p>
    <w:p w14:paraId="41E7EFC6" w14:textId="77777777" w:rsidR="00EE1814" w:rsidRPr="00EE1814" w:rsidRDefault="00EE1814" w:rsidP="00EE1814">
      <w:pPr>
        <w:numPr>
          <w:ilvl w:val="1"/>
          <w:numId w:val="10"/>
        </w:numPr>
      </w:pPr>
      <w:r w:rsidRPr="00EE1814">
        <w:t>Paranasal Sinuses – Right/Left → broader tooth view.</w:t>
      </w:r>
    </w:p>
    <w:p w14:paraId="79E657B7" w14:textId="77777777" w:rsidR="00EE1814" w:rsidRPr="00EE1814" w:rsidRDefault="00EE1814" w:rsidP="00EE1814">
      <w:pPr>
        <w:numPr>
          <w:ilvl w:val="1"/>
          <w:numId w:val="10"/>
        </w:numPr>
      </w:pPr>
      <w:r w:rsidRPr="00EE1814">
        <w:t>Head Frontal Cross-Section → molars (upper &amp; lower).</w:t>
      </w:r>
    </w:p>
    <w:p w14:paraId="14C0110D" w14:textId="77777777" w:rsidR="00EE1814" w:rsidRPr="00EE1814" w:rsidRDefault="00EE1814" w:rsidP="00EE1814">
      <w:pPr>
        <w:numPr>
          <w:ilvl w:val="0"/>
          <w:numId w:val="10"/>
        </w:numPr>
        <w:rPr>
          <w:b/>
          <w:bCs/>
        </w:rPr>
      </w:pPr>
      <w:r w:rsidRPr="00EE1814">
        <w:rPr>
          <w:b/>
          <w:bCs/>
        </w:rPr>
        <w:t>You may also use the search bar:</w:t>
      </w:r>
    </w:p>
    <w:p w14:paraId="275AE615" w14:textId="77777777" w:rsidR="00EE1814" w:rsidRPr="00EE1814" w:rsidRDefault="00EE1814" w:rsidP="00EE1814">
      <w:pPr>
        <w:numPr>
          <w:ilvl w:val="1"/>
          <w:numId w:val="10"/>
        </w:numPr>
      </w:pPr>
      <w:r w:rsidRPr="00EE1814">
        <w:t>Type “teeth” → general scans + nerve scans.</w:t>
      </w:r>
    </w:p>
    <w:p w14:paraId="65397C9B" w14:textId="77777777" w:rsidR="00EE1814" w:rsidRPr="00EE1814" w:rsidRDefault="00EE1814" w:rsidP="00EE1814">
      <w:pPr>
        <w:numPr>
          <w:ilvl w:val="1"/>
          <w:numId w:val="10"/>
        </w:numPr>
      </w:pPr>
      <w:r w:rsidRPr="00EE1814">
        <w:t>Type “tooth” → molar, cavity, or incisor scans.</w:t>
      </w:r>
    </w:p>
    <w:p w14:paraId="298F00B0" w14:textId="77777777" w:rsidR="001F4285" w:rsidRPr="00EE1814" w:rsidRDefault="00000000" w:rsidP="001F4285">
      <w:r>
        <w:pict w14:anchorId="46289DA7">
          <v:rect id="_x0000_i1027" style="width:0;height:1.5pt" o:hralign="center" o:hrstd="t" o:hr="t" fillcolor="#a0a0a0" stroked="f"/>
        </w:pict>
      </w:r>
    </w:p>
    <w:p w14:paraId="6E1A1AFA" w14:textId="77777777" w:rsidR="001F4285" w:rsidRPr="001F4285" w:rsidRDefault="001F4285" w:rsidP="001F4285">
      <w:pPr>
        <w:rPr>
          <w:b/>
          <w:bCs/>
        </w:rPr>
      </w:pPr>
      <w:r w:rsidRPr="001F4285">
        <w:rPr>
          <w:b/>
          <w:bCs/>
        </w:rPr>
        <w:t>Step 2 – Perform Initial Scan</w:t>
      </w:r>
    </w:p>
    <w:p w14:paraId="7A89EE1D" w14:textId="77777777" w:rsidR="001F4285" w:rsidRPr="001F4285" w:rsidRDefault="001F4285" w:rsidP="001F4285">
      <w:pPr>
        <w:numPr>
          <w:ilvl w:val="0"/>
          <w:numId w:val="2"/>
        </w:numPr>
      </w:pPr>
      <w:r w:rsidRPr="001F4285">
        <w:t>Select the desired tooth or section (incisor, molar, paranasal, etc.).</w:t>
      </w:r>
    </w:p>
    <w:p w14:paraId="1880D423" w14:textId="77777777" w:rsidR="001F4285" w:rsidRPr="001F4285" w:rsidRDefault="001F4285" w:rsidP="001F4285">
      <w:pPr>
        <w:numPr>
          <w:ilvl w:val="0"/>
          <w:numId w:val="2"/>
        </w:numPr>
      </w:pPr>
      <w:r w:rsidRPr="001F4285">
        <w:t>Run a scan → Oberon will return KOD (dispersion) and E (energy) values.</w:t>
      </w:r>
    </w:p>
    <w:p w14:paraId="2156F119" w14:textId="1E645CC3" w:rsidR="001F4285" w:rsidRPr="001F4285" w:rsidRDefault="001F4285" w:rsidP="001F4285">
      <w:pPr>
        <w:numPr>
          <w:ilvl w:val="0"/>
          <w:numId w:val="2"/>
        </w:numPr>
      </w:pPr>
      <w:r w:rsidRPr="001F4285">
        <w:t xml:space="preserve">Tip: </w:t>
      </w:r>
      <w:r w:rsidR="0025736A">
        <w:t>There are m</w:t>
      </w:r>
      <w:r w:rsidRPr="001F4285">
        <w:t xml:space="preserve">ultiple “thumb” images of the same tooth → only scan </w:t>
      </w:r>
      <w:r w:rsidR="0025736A">
        <w:t>one because they are all linked to the same tooth</w:t>
      </w:r>
      <w:r w:rsidRPr="001F4285">
        <w:t>.</w:t>
      </w:r>
    </w:p>
    <w:p w14:paraId="1F6C1045" w14:textId="77777777" w:rsidR="001F4285" w:rsidRPr="001F4285" w:rsidRDefault="00000000" w:rsidP="001F4285">
      <w:r>
        <w:pict w14:anchorId="1F34E7DC">
          <v:rect id="_x0000_i1028" style="width:0;height:1.5pt" o:hralign="center" o:hrstd="t" o:hr="t" fillcolor="#a0a0a0" stroked="f"/>
        </w:pict>
      </w:r>
    </w:p>
    <w:p w14:paraId="0FB8E5C9" w14:textId="77777777" w:rsidR="001F4285" w:rsidRPr="001F4285" w:rsidRDefault="001F4285" w:rsidP="001F4285">
      <w:pPr>
        <w:rPr>
          <w:b/>
          <w:bCs/>
        </w:rPr>
      </w:pPr>
      <w:r w:rsidRPr="001F4285">
        <w:rPr>
          <w:b/>
          <w:bCs/>
        </w:rPr>
        <w:t>Step 3 – Identify Priority Teeth</w:t>
      </w:r>
    </w:p>
    <w:p w14:paraId="435404C5" w14:textId="77777777" w:rsidR="001F4285" w:rsidRPr="001F4285" w:rsidRDefault="001F4285" w:rsidP="001F4285">
      <w:pPr>
        <w:numPr>
          <w:ilvl w:val="0"/>
          <w:numId w:val="3"/>
        </w:numPr>
      </w:pPr>
      <w:r w:rsidRPr="001F4285">
        <w:rPr>
          <w:b/>
          <w:bCs/>
        </w:rPr>
        <w:lastRenderedPageBreak/>
        <w:t>Sort by KOD (Dispersion):</w:t>
      </w:r>
    </w:p>
    <w:p w14:paraId="0947CE9D" w14:textId="77777777" w:rsidR="001F4285" w:rsidRPr="001F4285" w:rsidRDefault="001F4285" w:rsidP="001F4285">
      <w:pPr>
        <w:numPr>
          <w:ilvl w:val="1"/>
          <w:numId w:val="3"/>
        </w:numPr>
      </w:pPr>
      <w:r w:rsidRPr="001F4285">
        <w:t>Lower KOD = more chronic imbalance (priority for remedy work).</w:t>
      </w:r>
    </w:p>
    <w:p w14:paraId="22CE16BB" w14:textId="77777777" w:rsidR="001F4285" w:rsidRPr="001F4285" w:rsidRDefault="001F4285" w:rsidP="001F4285">
      <w:pPr>
        <w:numPr>
          <w:ilvl w:val="0"/>
          <w:numId w:val="3"/>
        </w:numPr>
      </w:pPr>
      <w:r w:rsidRPr="001F4285">
        <w:rPr>
          <w:b/>
          <w:bCs/>
        </w:rPr>
        <w:t>Check Energy (E Level):</w:t>
      </w:r>
    </w:p>
    <w:p w14:paraId="574AD887" w14:textId="77777777" w:rsidR="001F4285" w:rsidRPr="001F4285" w:rsidRDefault="001F4285" w:rsidP="001F4285">
      <w:pPr>
        <w:numPr>
          <w:ilvl w:val="1"/>
          <w:numId w:val="3"/>
        </w:numPr>
      </w:pPr>
      <w:r w:rsidRPr="001F4285">
        <w:t xml:space="preserve">If KOD values are close, choose the tooth with the </w:t>
      </w:r>
      <w:r w:rsidRPr="001F4285">
        <w:rPr>
          <w:b/>
          <w:bCs/>
        </w:rPr>
        <w:t>lowest energy + worst shape imbalance</w:t>
      </w:r>
      <w:r w:rsidRPr="001F4285">
        <w:t>.</w:t>
      </w:r>
    </w:p>
    <w:p w14:paraId="6D618FA7" w14:textId="77777777" w:rsidR="001F4285" w:rsidRPr="001F4285" w:rsidRDefault="001F4285" w:rsidP="001F4285">
      <w:pPr>
        <w:numPr>
          <w:ilvl w:val="0"/>
          <w:numId w:val="3"/>
        </w:numPr>
      </w:pPr>
      <w:r w:rsidRPr="001F4285">
        <w:rPr>
          <w:b/>
          <w:bCs/>
        </w:rPr>
        <w:t>Compare Left vs. Right:</w:t>
      </w:r>
    </w:p>
    <w:p w14:paraId="52D0E6FD" w14:textId="77777777" w:rsidR="001F4285" w:rsidRPr="001F4285" w:rsidRDefault="001F4285" w:rsidP="001F4285">
      <w:pPr>
        <w:numPr>
          <w:ilvl w:val="1"/>
          <w:numId w:val="3"/>
        </w:numPr>
      </w:pPr>
      <w:r w:rsidRPr="001F4285">
        <w:t>Identify whether imbalance is localized (single tooth) or broader (all molars/incisors).</w:t>
      </w:r>
    </w:p>
    <w:p w14:paraId="333A525A" w14:textId="77777777" w:rsidR="001F4285" w:rsidRPr="001F4285" w:rsidRDefault="00000000" w:rsidP="001F4285">
      <w:r>
        <w:pict w14:anchorId="4BAFB4BE">
          <v:rect id="_x0000_i1029" style="width:0;height:1.5pt" o:hralign="center" o:hrstd="t" o:hr="t" fillcolor="#a0a0a0" stroked="f"/>
        </w:pict>
      </w:r>
    </w:p>
    <w:p w14:paraId="5F760363" w14:textId="77777777" w:rsidR="001F4285" w:rsidRPr="001F4285" w:rsidRDefault="001F4285" w:rsidP="001F4285">
      <w:pPr>
        <w:rPr>
          <w:b/>
          <w:bCs/>
        </w:rPr>
      </w:pPr>
      <w:r w:rsidRPr="001F4285">
        <w:rPr>
          <w:b/>
          <w:bCs/>
        </w:rPr>
        <w:t>Step 4 – Building a Meta Therapy Plan</w:t>
      </w:r>
    </w:p>
    <w:p w14:paraId="4D6CCBC0" w14:textId="77777777" w:rsidR="001F4285" w:rsidRPr="001F4285" w:rsidRDefault="001F4285" w:rsidP="001F4285">
      <w:pPr>
        <w:numPr>
          <w:ilvl w:val="0"/>
          <w:numId w:val="4"/>
        </w:numPr>
      </w:pPr>
      <w:r w:rsidRPr="001F4285">
        <w:rPr>
          <w:b/>
          <w:bCs/>
        </w:rPr>
        <w:t>Simplified Approach:</w:t>
      </w:r>
    </w:p>
    <w:p w14:paraId="61D155F8" w14:textId="77777777" w:rsidR="001F4285" w:rsidRPr="001F4285" w:rsidRDefault="001F4285" w:rsidP="001F4285">
      <w:pPr>
        <w:numPr>
          <w:ilvl w:val="1"/>
          <w:numId w:val="4"/>
        </w:numPr>
      </w:pPr>
      <w:r w:rsidRPr="001F4285">
        <w:t>Search “teeth” + “tooth.”</w:t>
      </w:r>
    </w:p>
    <w:p w14:paraId="36DC0767" w14:textId="77777777" w:rsidR="001F4285" w:rsidRPr="001F4285" w:rsidRDefault="001F4285" w:rsidP="001F4285">
      <w:pPr>
        <w:numPr>
          <w:ilvl w:val="1"/>
          <w:numId w:val="4"/>
        </w:numPr>
      </w:pPr>
      <w:r w:rsidRPr="001F4285">
        <w:t>Select all 10–12 related scans.</w:t>
      </w:r>
    </w:p>
    <w:p w14:paraId="3214BB02" w14:textId="77777777" w:rsidR="001F4285" w:rsidRPr="001F4285" w:rsidRDefault="001F4285" w:rsidP="001F4285">
      <w:pPr>
        <w:numPr>
          <w:ilvl w:val="1"/>
          <w:numId w:val="4"/>
        </w:numPr>
      </w:pPr>
      <w:r w:rsidRPr="001F4285">
        <w:t xml:space="preserve">Run </w:t>
      </w:r>
      <w:r w:rsidRPr="001F4285">
        <w:rPr>
          <w:b/>
          <w:bCs/>
        </w:rPr>
        <w:t>Meta by 100</w:t>
      </w:r>
      <w:r w:rsidRPr="001F4285">
        <w:t xml:space="preserve"> (strongest) or Meta by 20 (3–5 repetitions).</w:t>
      </w:r>
    </w:p>
    <w:p w14:paraId="6057053B" w14:textId="77777777" w:rsidR="001F4285" w:rsidRPr="001F4285" w:rsidRDefault="001F4285" w:rsidP="001F4285">
      <w:pPr>
        <w:numPr>
          <w:ilvl w:val="0"/>
          <w:numId w:val="4"/>
        </w:numPr>
      </w:pPr>
      <w:r w:rsidRPr="001F4285">
        <w:rPr>
          <w:b/>
          <w:bCs/>
        </w:rPr>
        <w:t>Targeted Approach:</w:t>
      </w:r>
    </w:p>
    <w:p w14:paraId="0570898B" w14:textId="77777777" w:rsidR="001F4285" w:rsidRPr="001F4285" w:rsidRDefault="001F4285" w:rsidP="001F4285">
      <w:pPr>
        <w:numPr>
          <w:ilvl w:val="1"/>
          <w:numId w:val="4"/>
        </w:numPr>
      </w:pPr>
      <w:r w:rsidRPr="001F4285">
        <w:t>Focus only on teeth with lowest KOD + energy.</w:t>
      </w:r>
    </w:p>
    <w:p w14:paraId="49595C8F" w14:textId="7BF4358F" w:rsidR="001F4285" w:rsidRPr="001F4285" w:rsidRDefault="001F4285" w:rsidP="001F4285">
      <w:pPr>
        <w:numPr>
          <w:ilvl w:val="1"/>
          <w:numId w:val="4"/>
        </w:numPr>
      </w:pPr>
      <w:r w:rsidRPr="001F4285">
        <w:t xml:space="preserve">Add supporting scans (nerve, vessel, </w:t>
      </w:r>
      <w:r w:rsidR="0025736A">
        <w:t xml:space="preserve">arterial </w:t>
      </w:r>
      <w:r w:rsidRPr="001F4285">
        <w:t>or tissue under the tooth).</w:t>
      </w:r>
    </w:p>
    <w:p w14:paraId="0440A33C" w14:textId="77777777" w:rsidR="001F4285" w:rsidRPr="001F4285" w:rsidRDefault="001F4285" w:rsidP="001F4285">
      <w:r w:rsidRPr="001F4285">
        <w:rPr>
          <w:rFonts w:ascii="Segoe UI Emoji" w:hAnsi="Segoe UI Emoji" w:cs="Segoe UI Emoji"/>
        </w:rPr>
        <w:t>⚡</w:t>
      </w:r>
      <w:r w:rsidRPr="001F4285">
        <w:t xml:space="preserve"> </w:t>
      </w:r>
      <w:r w:rsidRPr="001F4285">
        <w:rPr>
          <w:b/>
          <w:bCs/>
        </w:rPr>
        <w:t>Time Estimate:</w:t>
      </w:r>
    </w:p>
    <w:p w14:paraId="3EC2DAA3" w14:textId="77777777" w:rsidR="001F4285" w:rsidRPr="001F4285" w:rsidRDefault="001F4285" w:rsidP="001F4285">
      <w:pPr>
        <w:numPr>
          <w:ilvl w:val="0"/>
          <w:numId w:val="5"/>
        </w:numPr>
      </w:pPr>
      <w:r w:rsidRPr="001F4285">
        <w:t>Meta by 100 on ~15–20 items → 1.5–2 hours (use remote headset).</w:t>
      </w:r>
    </w:p>
    <w:p w14:paraId="544A6EA3" w14:textId="77777777" w:rsidR="001F4285" w:rsidRPr="001F4285" w:rsidRDefault="001F4285" w:rsidP="001F4285">
      <w:pPr>
        <w:numPr>
          <w:ilvl w:val="0"/>
          <w:numId w:val="5"/>
        </w:numPr>
      </w:pPr>
      <w:r w:rsidRPr="001F4285">
        <w:t>Meta by 20 (3x) → ~30 minutes.</w:t>
      </w:r>
    </w:p>
    <w:p w14:paraId="468351BC" w14:textId="77777777" w:rsidR="001F4285" w:rsidRPr="001F4285" w:rsidRDefault="00000000" w:rsidP="001F4285">
      <w:r>
        <w:pict w14:anchorId="2EB5C45A">
          <v:rect id="_x0000_i1030" style="width:0;height:1.5pt" o:hralign="center" o:hrstd="t" o:hr="t" fillcolor="#a0a0a0" stroked="f"/>
        </w:pict>
      </w:r>
    </w:p>
    <w:p w14:paraId="36E37011" w14:textId="77777777" w:rsidR="001F4285" w:rsidRPr="001F4285" w:rsidRDefault="001F4285" w:rsidP="001F4285">
      <w:pPr>
        <w:rPr>
          <w:b/>
          <w:bCs/>
        </w:rPr>
      </w:pPr>
      <w:r w:rsidRPr="001F4285">
        <w:rPr>
          <w:b/>
          <w:bCs/>
        </w:rPr>
        <w:t>Step 5 – Remedy Infusion Support</w:t>
      </w:r>
    </w:p>
    <w:p w14:paraId="4E4EFCB0" w14:textId="77777777" w:rsidR="001F4285" w:rsidRPr="001F4285" w:rsidRDefault="001F4285" w:rsidP="001F4285">
      <w:pPr>
        <w:numPr>
          <w:ilvl w:val="0"/>
          <w:numId w:val="6"/>
        </w:numPr>
      </w:pPr>
      <w:r w:rsidRPr="001F4285">
        <w:t>Choose remedy topics:</w:t>
      </w:r>
    </w:p>
    <w:p w14:paraId="4740D4D6" w14:textId="77777777" w:rsidR="001F4285" w:rsidRPr="001F4285" w:rsidRDefault="001F4285" w:rsidP="001F4285">
      <w:pPr>
        <w:numPr>
          <w:ilvl w:val="1"/>
          <w:numId w:val="6"/>
        </w:numPr>
      </w:pPr>
      <w:r w:rsidRPr="001F4285">
        <w:rPr>
          <w:b/>
          <w:bCs/>
        </w:rPr>
        <w:t>ALLOPATHY (ALL CAPS)</w:t>
      </w:r>
      <w:r w:rsidRPr="001F4285">
        <w:t xml:space="preserve"> → Pain relief &amp; general balancing.</w:t>
      </w:r>
    </w:p>
    <w:p w14:paraId="1D31FAF9" w14:textId="5A6F2E93" w:rsidR="001F4285" w:rsidRDefault="001F4285" w:rsidP="001F4285">
      <w:pPr>
        <w:numPr>
          <w:ilvl w:val="1"/>
          <w:numId w:val="6"/>
        </w:numPr>
      </w:pPr>
      <w:r w:rsidRPr="001F4285">
        <w:rPr>
          <w:b/>
          <w:bCs/>
        </w:rPr>
        <w:t>Nutri Topics (3)</w:t>
      </w:r>
      <w:r w:rsidRPr="001F4285">
        <w:t xml:space="preserve"> → </w:t>
      </w:r>
      <w:proofErr w:type="spellStart"/>
      <w:r w:rsidRPr="001F4285">
        <w:t>Nutrice</w:t>
      </w:r>
      <w:r w:rsidR="0025736A">
        <w:t>v</w:t>
      </w:r>
      <w:r w:rsidRPr="001F4285">
        <w:t>tics</w:t>
      </w:r>
      <w:proofErr w:type="spellEnd"/>
      <w:r w:rsidRPr="001F4285">
        <w:t xml:space="preserve">, </w:t>
      </w:r>
      <w:proofErr w:type="spellStart"/>
      <w:r w:rsidRPr="001F4285">
        <w:t>Nutri</w:t>
      </w:r>
      <w:r w:rsidR="001E3B6A">
        <w:t>p</w:t>
      </w:r>
      <w:r w:rsidRPr="001F4285">
        <w:t>ower</w:t>
      </w:r>
      <w:proofErr w:type="spellEnd"/>
      <w:r w:rsidRPr="001F4285">
        <w:t xml:space="preserve">, </w:t>
      </w:r>
      <w:proofErr w:type="spellStart"/>
      <w:r w:rsidRPr="001F4285">
        <w:t>Nutri</w:t>
      </w:r>
      <w:r w:rsidR="001E3B6A">
        <w:t>l</w:t>
      </w:r>
      <w:r w:rsidRPr="001F4285">
        <w:t>i</w:t>
      </w:r>
      <w:r w:rsidR="001E3B6A">
        <w:t>te</w:t>
      </w:r>
      <w:proofErr w:type="spellEnd"/>
      <w:r w:rsidRPr="001F4285">
        <w:t>.</w:t>
      </w:r>
    </w:p>
    <w:p w14:paraId="5252ED94" w14:textId="1007B2A2" w:rsidR="001E3B6A" w:rsidRPr="001F4285" w:rsidRDefault="001E3B6A" w:rsidP="001F4285">
      <w:pPr>
        <w:numPr>
          <w:ilvl w:val="1"/>
          <w:numId w:val="6"/>
        </w:numPr>
      </w:pPr>
      <w:r>
        <w:rPr>
          <w:b/>
          <w:bCs/>
        </w:rPr>
        <w:t xml:space="preserve">ANT Topics (4) </w:t>
      </w:r>
      <w:r w:rsidRPr="001F4285">
        <w:t>→</w:t>
      </w:r>
      <w:r>
        <w:t xml:space="preserve"> ANTIBACTERIAL Prep, ANTIVIRAL Prep, ANTIFUNGAL prep, ANTHELMINTH Prep</w:t>
      </w:r>
    </w:p>
    <w:p w14:paraId="2175E525" w14:textId="77777777" w:rsidR="001F4285" w:rsidRPr="001F4285" w:rsidRDefault="001F4285" w:rsidP="001F4285">
      <w:pPr>
        <w:numPr>
          <w:ilvl w:val="0"/>
          <w:numId w:val="6"/>
        </w:numPr>
      </w:pPr>
      <w:r w:rsidRPr="001F4285">
        <w:lastRenderedPageBreak/>
        <w:t>Best carriers for remedy infusion:</w:t>
      </w:r>
    </w:p>
    <w:p w14:paraId="42E4893E" w14:textId="77777777" w:rsidR="001F4285" w:rsidRPr="001F4285" w:rsidRDefault="001F4285" w:rsidP="001F4285">
      <w:pPr>
        <w:numPr>
          <w:ilvl w:val="1"/>
          <w:numId w:val="6"/>
        </w:numPr>
      </w:pPr>
      <w:r w:rsidRPr="001F4285">
        <w:rPr>
          <w:b/>
          <w:bCs/>
        </w:rPr>
        <w:t>Lanolin Balm</w:t>
      </w:r>
      <w:r w:rsidRPr="001F4285">
        <w:t xml:space="preserve"> → Long-lasting frequency hold, economical.</w:t>
      </w:r>
    </w:p>
    <w:p w14:paraId="5471F054" w14:textId="77777777" w:rsidR="001F4285" w:rsidRPr="001F4285" w:rsidRDefault="001F4285" w:rsidP="001F4285">
      <w:pPr>
        <w:numPr>
          <w:ilvl w:val="1"/>
          <w:numId w:val="6"/>
        </w:numPr>
      </w:pPr>
      <w:proofErr w:type="spellStart"/>
      <w:r w:rsidRPr="001F4285">
        <w:rPr>
          <w:b/>
          <w:bCs/>
        </w:rPr>
        <w:t>Unpetroleum</w:t>
      </w:r>
      <w:proofErr w:type="spellEnd"/>
      <w:r w:rsidRPr="001F4285">
        <w:rPr>
          <w:b/>
          <w:bCs/>
        </w:rPr>
        <w:t xml:space="preserve"> Jelly</w:t>
      </w:r>
      <w:r w:rsidRPr="001F4285">
        <w:t xml:space="preserve"> → Lighter but requires reapplication.</w:t>
      </w:r>
    </w:p>
    <w:p w14:paraId="3985E7BA" w14:textId="77777777" w:rsidR="001F4285" w:rsidRPr="001F4285" w:rsidRDefault="001F4285" w:rsidP="001F4285">
      <w:pPr>
        <w:numPr>
          <w:ilvl w:val="1"/>
          <w:numId w:val="6"/>
        </w:numPr>
      </w:pPr>
      <w:r w:rsidRPr="001F4285">
        <w:rPr>
          <w:b/>
          <w:bCs/>
        </w:rPr>
        <w:t>Bracelets</w:t>
      </w:r>
      <w:r w:rsidRPr="001F4285">
        <w:t xml:space="preserve"> → Convenient but weaker effect.</w:t>
      </w:r>
    </w:p>
    <w:p w14:paraId="61179546" w14:textId="77777777" w:rsidR="001F4285" w:rsidRPr="001F4285" w:rsidRDefault="00000000" w:rsidP="001F4285">
      <w:r>
        <w:pict w14:anchorId="0E3A76AF">
          <v:rect id="_x0000_i1031" style="width:0;height:1.5pt" o:hralign="center" o:hrstd="t" o:hr="t" fillcolor="#a0a0a0" stroked="f"/>
        </w:pict>
      </w:r>
    </w:p>
    <w:p w14:paraId="60C67BF0" w14:textId="77777777" w:rsidR="001F4285" w:rsidRPr="001F4285" w:rsidRDefault="001F4285" w:rsidP="001F4285">
      <w:pPr>
        <w:rPr>
          <w:b/>
          <w:bCs/>
        </w:rPr>
      </w:pPr>
      <w:r w:rsidRPr="001F4285">
        <w:rPr>
          <w:b/>
          <w:bCs/>
        </w:rPr>
        <w:t>Step 6 – Preventative &amp; Long-Term Use</w:t>
      </w:r>
    </w:p>
    <w:p w14:paraId="398D9A67" w14:textId="77777777" w:rsidR="001F4285" w:rsidRPr="001F4285" w:rsidRDefault="001F4285" w:rsidP="001F4285">
      <w:pPr>
        <w:numPr>
          <w:ilvl w:val="0"/>
          <w:numId w:val="7"/>
        </w:numPr>
      </w:pPr>
      <w:r w:rsidRPr="001F4285">
        <w:t>For cavities or loose teeth → daily therapy recommended.</w:t>
      </w:r>
    </w:p>
    <w:p w14:paraId="086930B2" w14:textId="77777777" w:rsidR="001F4285" w:rsidRPr="001F4285" w:rsidRDefault="001F4285" w:rsidP="001F4285">
      <w:pPr>
        <w:numPr>
          <w:ilvl w:val="0"/>
          <w:numId w:val="7"/>
        </w:numPr>
      </w:pPr>
      <w:r w:rsidRPr="001F4285">
        <w:t>Suggested routine:</w:t>
      </w:r>
    </w:p>
    <w:p w14:paraId="467DD6E2" w14:textId="77777777" w:rsidR="001F4285" w:rsidRPr="001F4285" w:rsidRDefault="001F4285" w:rsidP="001F4285">
      <w:pPr>
        <w:numPr>
          <w:ilvl w:val="1"/>
          <w:numId w:val="7"/>
        </w:numPr>
      </w:pPr>
      <w:r w:rsidRPr="001F4285">
        <w:rPr>
          <w:b/>
          <w:bCs/>
        </w:rPr>
        <w:t>Preventative Care:</w:t>
      </w:r>
      <w:r w:rsidRPr="001F4285">
        <w:t xml:space="preserve"> 1x/day, 3–5 days per week.</w:t>
      </w:r>
    </w:p>
    <w:p w14:paraId="64A97B1C" w14:textId="77777777" w:rsidR="001F4285" w:rsidRPr="001F4285" w:rsidRDefault="001F4285" w:rsidP="001F4285">
      <w:pPr>
        <w:numPr>
          <w:ilvl w:val="1"/>
          <w:numId w:val="7"/>
        </w:numPr>
      </w:pPr>
      <w:r w:rsidRPr="001F4285">
        <w:rPr>
          <w:b/>
          <w:bCs/>
        </w:rPr>
        <w:t>Acute Issues (pain, loose teeth):</w:t>
      </w:r>
      <w:r w:rsidRPr="001F4285">
        <w:t xml:space="preserve"> 2x/day for 3–5 days, then reassess.</w:t>
      </w:r>
    </w:p>
    <w:p w14:paraId="54E4C74C" w14:textId="77777777" w:rsidR="001F4285" w:rsidRPr="001F4285" w:rsidRDefault="00000000" w:rsidP="001F4285">
      <w:r>
        <w:pict w14:anchorId="73E7BDB6">
          <v:rect id="_x0000_i1032" style="width:0;height:1.5pt" o:hralign="center" o:hrstd="t" o:hr="t" fillcolor="#a0a0a0" stroked="f"/>
        </w:pict>
      </w:r>
    </w:p>
    <w:p w14:paraId="67BE9E8D" w14:textId="77777777" w:rsidR="001F4285" w:rsidRPr="001F4285" w:rsidRDefault="001F4285" w:rsidP="001F4285">
      <w:pPr>
        <w:rPr>
          <w:b/>
          <w:bCs/>
        </w:rPr>
      </w:pPr>
      <w:r w:rsidRPr="001F4285">
        <w:rPr>
          <w:b/>
          <w:bCs/>
        </w:rPr>
        <w:t>Step 7 – Tracking &amp; Correlations</w:t>
      </w:r>
    </w:p>
    <w:p w14:paraId="16D56F4D" w14:textId="77777777" w:rsidR="001F4285" w:rsidRPr="001F4285" w:rsidRDefault="001F4285" w:rsidP="001F4285">
      <w:pPr>
        <w:numPr>
          <w:ilvl w:val="0"/>
          <w:numId w:val="8"/>
        </w:numPr>
      </w:pPr>
      <w:r w:rsidRPr="001F4285">
        <w:t>Note which tooth scans low → check organ correlations (teeth ↔ body systems).</w:t>
      </w:r>
    </w:p>
    <w:p w14:paraId="151B9BEA" w14:textId="77777777" w:rsidR="001F4285" w:rsidRPr="001F4285" w:rsidRDefault="001F4285" w:rsidP="001F4285">
      <w:pPr>
        <w:numPr>
          <w:ilvl w:val="0"/>
          <w:numId w:val="8"/>
        </w:numPr>
      </w:pPr>
      <w:r w:rsidRPr="001F4285">
        <w:t>Example: molars often link to digestive/liver; incisors to kidneys/bladder.</w:t>
      </w:r>
    </w:p>
    <w:p w14:paraId="5F3929A9" w14:textId="77777777" w:rsidR="001F4285" w:rsidRPr="001F4285" w:rsidRDefault="001F4285" w:rsidP="001F4285">
      <w:pPr>
        <w:numPr>
          <w:ilvl w:val="0"/>
          <w:numId w:val="8"/>
        </w:numPr>
      </w:pPr>
      <w:r w:rsidRPr="001F4285">
        <w:t xml:space="preserve">Use a </w:t>
      </w:r>
      <w:proofErr w:type="gramStart"/>
      <w:r w:rsidRPr="001F4285">
        <w:rPr>
          <w:b/>
          <w:bCs/>
        </w:rPr>
        <w:t>teeth</w:t>
      </w:r>
      <w:proofErr w:type="gramEnd"/>
      <w:r w:rsidRPr="001F4285">
        <w:rPr>
          <w:b/>
          <w:bCs/>
        </w:rPr>
        <w:t>–organ chart</w:t>
      </w:r>
      <w:r w:rsidRPr="001F4285">
        <w:t xml:space="preserve"> for cross-reference.</w:t>
      </w:r>
    </w:p>
    <w:p w14:paraId="2F002771" w14:textId="77777777" w:rsidR="001F4285" w:rsidRPr="001F4285" w:rsidRDefault="00000000" w:rsidP="001F4285">
      <w:r>
        <w:pict w14:anchorId="1C65DA6B">
          <v:rect id="_x0000_i1033" style="width:0;height:1.5pt" o:hralign="center" o:hrstd="t" o:hr="t" fillcolor="#a0a0a0" stroked="f"/>
        </w:pict>
      </w:r>
    </w:p>
    <w:p w14:paraId="33F5D4DF" w14:textId="77777777" w:rsidR="001F4285" w:rsidRPr="001F4285" w:rsidRDefault="001F4285" w:rsidP="001F4285">
      <w:pPr>
        <w:rPr>
          <w:b/>
          <w:bCs/>
        </w:rPr>
      </w:pPr>
      <w:r w:rsidRPr="001F4285">
        <w:rPr>
          <w:rFonts w:ascii="Segoe UI Emoji" w:hAnsi="Segoe UI Emoji" w:cs="Segoe UI Emoji"/>
          <w:b/>
          <w:bCs/>
        </w:rPr>
        <w:t>✅</w:t>
      </w:r>
      <w:r w:rsidRPr="001F4285">
        <w:rPr>
          <w:b/>
          <w:bCs/>
        </w:rPr>
        <w:t xml:space="preserve"> Quick Checklist (Teeth Scan &amp; Therapy)</w:t>
      </w:r>
    </w:p>
    <w:p w14:paraId="78F4390A" w14:textId="331FABBD" w:rsidR="001F4285" w:rsidRPr="001F4285" w:rsidRDefault="001F4285" w:rsidP="001F4285">
      <w:r w:rsidRPr="001F4285">
        <w:t xml:space="preserve">☐ Enable </w:t>
      </w:r>
      <w:r w:rsidRPr="001F4285">
        <w:rPr>
          <w:b/>
          <w:bCs/>
        </w:rPr>
        <w:t>Show Region + Thumbs</w:t>
      </w:r>
      <w:r w:rsidRPr="001F4285">
        <w:t>.</w:t>
      </w:r>
      <w:r w:rsidRPr="001F4285">
        <w:br/>
        <w:t xml:space="preserve">☐ Scan </w:t>
      </w:r>
      <w:r w:rsidRPr="001F4285">
        <w:rPr>
          <w:b/>
          <w:bCs/>
        </w:rPr>
        <w:t>head longitudinal</w:t>
      </w:r>
      <w:r w:rsidRPr="001F4285">
        <w:t xml:space="preserve"> + </w:t>
      </w:r>
      <w:r w:rsidRPr="001F4285">
        <w:rPr>
          <w:b/>
          <w:bCs/>
        </w:rPr>
        <w:t>paranasal sinuses</w:t>
      </w:r>
      <w:r w:rsidRPr="001F4285">
        <w:t>.</w:t>
      </w:r>
      <w:r w:rsidRPr="001F4285">
        <w:br/>
        <w:t xml:space="preserve">☐ Search </w:t>
      </w:r>
      <w:r w:rsidRPr="001F4285">
        <w:rPr>
          <w:b/>
          <w:bCs/>
        </w:rPr>
        <w:t>“teeth”</w:t>
      </w:r>
      <w:r w:rsidRPr="001F4285">
        <w:t xml:space="preserve"> + </w:t>
      </w:r>
      <w:r w:rsidRPr="001F4285">
        <w:rPr>
          <w:b/>
          <w:bCs/>
        </w:rPr>
        <w:t>“tooth”</w:t>
      </w:r>
      <w:r w:rsidRPr="001F4285">
        <w:t>.</w:t>
      </w:r>
      <w:r w:rsidRPr="001F4285">
        <w:br/>
        <w:t xml:space="preserve">☐ Sort results → lowest </w:t>
      </w:r>
      <w:r w:rsidRPr="001F4285">
        <w:rPr>
          <w:b/>
          <w:bCs/>
        </w:rPr>
        <w:t>KOD</w:t>
      </w:r>
      <w:r w:rsidRPr="001F4285">
        <w:t xml:space="preserve"> first, then </w:t>
      </w:r>
      <w:r w:rsidRPr="001F4285">
        <w:rPr>
          <w:b/>
          <w:bCs/>
        </w:rPr>
        <w:t>Energy</w:t>
      </w:r>
      <w:r w:rsidRPr="001F4285">
        <w:t>.</w:t>
      </w:r>
      <w:r w:rsidRPr="001F4285">
        <w:br/>
        <w:t>☐ Build plan: Meta by 100 or Meta by 20 (×3–5).</w:t>
      </w:r>
      <w:r w:rsidRPr="001F4285">
        <w:br/>
        <w:t xml:space="preserve">☐ Add </w:t>
      </w:r>
      <w:r w:rsidRPr="001F4285">
        <w:rPr>
          <w:b/>
          <w:bCs/>
        </w:rPr>
        <w:t>Allopathy</w:t>
      </w:r>
      <w:r w:rsidRPr="001F4285">
        <w:t xml:space="preserve"> + </w:t>
      </w:r>
      <w:r w:rsidRPr="001F4285">
        <w:rPr>
          <w:b/>
          <w:bCs/>
        </w:rPr>
        <w:t>Nutri topics</w:t>
      </w:r>
      <w:r w:rsidRPr="001F4285">
        <w:t xml:space="preserve"> </w:t>
      </w:r>
      <w:r w:rsidR="001E3B6A">
        <w:t xml:space="preserve">+ </w:t>
      </w:r>
      <w:r w:rsidR="001E3B6A">
        <w:rPr>
          <w:b/>
          <w:bCs/>
        </w:rPr>
        <w:t xml:space="preserve">ANT </w:t>
      </w:r>
      <w:r w:rsidRPr="001F4285">
        <w:t>remedies.</w:t>
      </w:r>
      <w:r w:rsidRPr="001F4285">
        <w:br/>
        <w:t xml:space="preserve">☐ Infuse into lanolin balm, </w:t>
      </w:r>
      <w:proofErr w:type="spellStart"/>
      <w:r w:rsidRPr="001F4285">
        <w:t>unpetroleum</w:t>
      </w:r>
      <w:proofErr w:type="spellEnd"/>
      <w:r w:rsidRPr="001F4285">
        <w:t xml:space="preserve"> jelly, or </w:t>
      </w:r>
      <w:r>
        <w:t>plastic band</w:t>
      </w:r>
      <w:r w:rsidRPr="001F4285">
        <w:t>.</w:t>
      </w:r>
      <w:r w:rsidRPr="001F4285">
        <w:br/>
        <w:t>☐ Record progress: pain relief, gum health, tooth stability.</w:t>
      </w:r>
    </w:p>
    <w:p w14:paraId="2A68BD8F" w14:textId="482CE4BB" w:rsidR="009D3AE4" w:rsidRDefault="00000000">
      <w:r>
        <w:pict w14:anchorId="0A78F28C">
          <v:rect id="_x0000_i1034" style="width:0;height:1.5pt" o:hralign="center" o:hrstd="t" o:hr="t" fillcolor="#a0a0a0" stroked="f"/>
        </w:pict>
      </w:r>
    </w:p>
    <w:sectPr w:rsidR="009D3A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5004" w14:textId="77777777" w:rsidR="002914A4" w:rsidRDefault="002914A4" w:rsidP="001F4285">
      <w:pPr>
        <w:spacing w:after="0" w:line="240" w:lineRule="auto"/>
      </w:pPr>
      <w:r>
        <w:separator/>
      </w:r>
    </w:p>
  </w:endnote>
  <w:endnote w:type="continuationSeparator" w:id="0">
    <w:p w14:paraId="7ACDA7ED" w14:textId="77777777" w:rsidR="002914A4" w:rsidRDefault="002914A4" w:rsidP="001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981152"/>
      <w:docPartObj>
        <w:docPartGallery w:val="Page Numbers (Bottom of Page)"/>
        <w:docPartUnique/>
      </w:docPartObj>
    </w:sdtPr>
    <w:sdtEndPr>
      <w:rPr>
        <w:color w:val="7F7F7F" w:themeColor="background1" w:themeShade="7F"/>
        <w:spacing w:val="60"/>
      </w:rPr>
    </w:sdtEndPr>
    <w:sdtContent>
      <w:p w14:paraId="75913E31" w14:textId="588C7D24" w:rsidR="001F4285" w:rsidRDefault="001F428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FBDC41E" w14:textId="77777777" w:rsidR="001F4285" w:rsidRDefault="001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6023" w14:textId="77777777" w:rsidR="002914A4" w:rsidRDefault="002914A4" w:rsidP="001F4285">
      <w:pPr>
        <w:spacing w:after="0" w:line="240" w:lineRule="auto"/>
      </w:pPr>
      <w:r>
        <w:separator/>
      </w:r>
    </w:p>
  </w:footnote>
  <w:footnote w:type="continuationSeparator" w:id="0">
    <w:p w14:paraId="07C2BE23" w14:textId="77777777" w:rsidR="002914A4" w:rsidRDefault="002914A4" w:rsidP="001F4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480" w14:textId="3969F54A" w:rsidR="001F4285" w:rsidRDefault="001F4285">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222C"/>
    <w:multiLevelType w:val="multilevel"/>
    <w:tmpl w:val="747E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92903"/>
    <w:multiLevelType w:val="multilevel"/>
    <w:tmpl w:val="2BC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572BA"/>
    <w:multiLevelType w:val="multilevel"/>
    <w:tmpl w:val="4166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329C8"/>
    <w:multiLevelType w:val="multilevel"/>
    <w:tmpl w:val="1C2C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B7C56"/>
    <w:multiLevelType w:val="multilevel"/>
    <w:tmpl w:val="8FAC5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A4087"/>
    <w:multiLevelType w:val="multilevel"/>
    <w:tmpl w:val="7E422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8126A"/>
    <w:multiLevelType w:val="multilevel"/>
    <w:tmpl w:val="55DC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151984"/>
    <w:multiLevelType w:val="multilevel"/>
    <w:tmpl w:val="016E0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6356C"/>
    <w:multiLevelType w:val="multilevel"/>
    <w:tmpl w:val="5E2C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7C70FF"/>
    <w:multiLevelType w:val="multilevel"/>
    <w:tmpl w:val="928C8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763377">
    <w:abstractNumId w:val="5"/>
  </w:num>
  <w:num w:numId="2" w16cid:durableId="2042584036">
    <w:abstractNumId w:val="6"/>
  </w:num>
  <w:num w:numId="3" w16cid:durableId="1334187608">
    <w:abstractNumId w:val="9"/>
  </w:num>
  <w:num w:numId="4" w16cid:durableId="390471342">
    <w:abstractNumId w:val="7"/>
  </w:num>
  <w:num w:numId="5" w16cid:durableId="754397147">
    <w:abstractNumId w:val="1"/>
  </w:num>
  <w:num w:numId="6" w16cid:durableId="587617569">
    <w:abstractNumId w:val="2"/>
  </w:num>
  <w:num w:numId="7" w16cid:durableId="1020736732">
    <w:abstractNumId w:val="3"/>
  </w:num>
  <w:num w:numId="8" w16cid:durableId="107816721">
    <w:abstractNumId w:val="0"/>
  </w:num>
  <w:num w:numId="9" w16cid:durableId="1975020490">
    <w:abstractNumId w:val="8"/>
  </w:num>
  <w:num w:numId="10" w16cid:durableId="1840073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5"/>
    <w:rsid w:val="00036DE0"/>
    <w:rsid w:val="000647AC"/>
    <w:rsid w:val="000D5A11"/>
    <w:rsid w:val="000E2387"/>
    <w:rsid w:val="000E2AE0"/>
    <w:rsid w:val="000F29A8"/>
    <w:rsid w:val="000F78BB"/>
    <w:rsid w:val="00115D6B"/>
    <w:rsid w:val="001752A1"/>
    <w:rsid w:val="001A488F"/>
    <w:rsid w:val="001B63F8"/>
    <w:rsid w:val="001D0680"/>
    <w:rsid w:val="001E1228"/>
    <w:rsid w:val="001E3B6A"/>
    <w:rsid w:val="001F1265"/>
    <w:rsid w:val="001F4285"/>
    <w:rsid w:val="001F4ED2"/>
    <w:rsid w:val="00204AFE"/>
    <w:rsid w:val="00236908"/>
    <w:rsid w:val="0025736A"/>
    <w:rsid w:val="002914A4"/>
    <w:rsid w:val="0036561F"/>
    <w:rsid w:val="003804EF"/>
    <w:rsid w:val="003807E0"/>
    <w:rsid w:val="00394502"/>
    <w:rsid w:val="00422E55"/>
    <w:rsid w:val="004254E2"/>
    <w:rsid w:val="00461A9D"/>
    <w:rsid w:val="00485BDB"/>
    <w:rsid w:val="004862A0"/>
    <w:rsid w:val="00486B79"/>
    <w:rsid w:val="00532DB1"/>
    <w:rsid w:val="00543287"/>
    <w:rsid w:val="005B004A"/>
    <w:rsid w:val="005B5964"/>
    <w:rsid w:val="005D123D"/>
    <w:rsid w:val="00606A1E"/>
    <w:rsid w:val="0065748D"/>
    <w:rsid w:val="00694445"/>
    <w:rsid w:val="006964B3"/>
    <w:rsid w:val="006E3C1E"/>
    <w:rsid w:val="006E5EEC"/>
    <w:rsid w:val="007770DD"/>
    <w:rsid w:val="007F6162"/>
    <w:rsid w:val="008223CE"/>
    <w:rsid w:val="00847B17"/>
    <w:rsid w:val="00870498"/>
    <w:rsid w:val="009037A8"/>
    <w:rsid w:val="009740C7"/>
    <w:rsid w:val="009B4524"/>
    <w:rsid w:val="009D3AE4"/>
    <w:rsid w:val="00A009D6"/>
    <w:rsid w:val="00A0728F"/>
    <w:rsid w:val="00A515CB"/>
    <w:rsid w:val="00A946DE"/>
    <w:rsid w:val="00AA6652"/>
    <w:rsid w:val="00AB6874"/>
    <w:rsid w:val="00B13BFA"/>
    <w:rsid w:val="00B6588E"/>
    <w:rsid w:val="00B707C3"/>
    <w:rsid w:val="00B766FC"/>
    <w:rsid w:val="00B82CD1"/>
    <w:rsid w:val="00B957A1"/>
    <w:rsid w:val="00B971D6"/>
    <w:rsid w:val="00B97CC6"/>
    <w:rsid w:val="00BD13FB"/>
    <w:rsid w:val="00BD5D8E"/>
    <w:rsid w:val="00BE4370"/>
    <w:rsid w:val="00C22037"/>
    <w:rsid w:val="00C24C86"/>
    <w:rsid w:val="00C440B2"/>
    <w:rsid w:val="00C67A0F"/>
    <w:rsid w:val="00C76FE9"/>
    <w:rsid w:val="00CA7A60"/>
    <w:rsid w:val="00CC5E17"/>
    <w:rsid w:val="00CE6E9F"/>
    <w:rsid w:val="00D015C3"/>
    <w:rsid w:val="00D04567"/>
    <w:rsid w:val="00D37C87"/>
    <w:rsid w:val="00DA5175"/>
    <w:rsid w:val="00DD45E7"/>
    <w:rsid w:val="00E32E06"/>
    <w:rsid w:val="00E81A5C"/>
    <w:rsid w:val="00EB6718"/>
    <w:rsid w:val="00ED550E"/>
    <w:rsid w:val="00EE1814"/>
    <w:rsid w:val="00F57DC5"/>
    <w:rsid w:val="00F839B3"/>
    <w:rsid w:val="00FD4BB2"/>
    <w:rsid w:val="00FE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699C"/>
  <w15:chartTrackingRefBased/>
  <w15:docId w15:val="{4919ED38-A65D-441A-B9F9-1B13A483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285"/>
    <w:rPr>
      <w:rFonts w:eastAsiaTheme="majorEastAsia" w:cstheme="majorBidi"/>
      <w:color w:val="272727" w:themeColor="text1" w:themeTint="D8"/>
    </w:rPr>
  </w:style>
  <w:style w:type="paragraph" w:styleId="Title">
    <w:name w:val="Title"/>
    <w:basedOn w:val="Normal"/>
    <w:next w:val="Normal"/>
    <w:link w:val="TitleChar"/>
    <w:uiPriority w:val="10"/>
    <w:qFormat/>
    <w:rsid w:val="001F4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285"/>
    <w:pPr>
      <w:spacing w:before="160"/>
      <w:jc w:val="center"/>
    </w:pPr>
    <w:rPr>
      <w:i/>
      <w:iCs/>
      <w:color w:val="404040" w:themeColor="text1" w:themeTint="BF"/>
    </w:rPr>
  </w:style>
  <w:style w:type="character" w:customStyle="1" w:styleId="QuoteChar">
    <w:name w:val="Quote Char"/>
    <w:basedOn w:val="DefaultParagraphFont"/>
    <w:link w:val="Quote"/>
    <w:uiPriority w:val="29"/>
    <w:rsid w:val="001F4285"/>
    <w:rPr>
      <w:i/>
      <w:iCs/>
      <w:color w:val="404040" w:themeColor="text1" w:themeTint="BF"/>
    </w:rPr>
  </w:style>
  <w:style w:type="paragraph" w:styleId="ListParagraph">
    <w:name w:val="List Paragraph"/>
    <w:basedOn w:val="Normal"/>
    <w:uiPriority w:val="34"/>
    <w:qFormat/>
    <w:rsid w:val="001F4285"/>
    <w:pPr>
      <w:ind w:left="720"/>
      <w:contextualSpacing/>
    </w:pPr>
  </w:style>
  <w:style w:type="character" w:styleId="IntenseEmphasis">
    <w:name w:val="Intense Emphasis"/>
    <w:basedOn w:val="DefaultParagraphFont"/>
    <w:uiPriority w:val="21"/>
    <w:qFormat/>
    <w:rsid w:val="001F4285"/>
    <w:rPr>
      <w:i/>
      <w:iCs/>
      <w:color w:val="0F4761" w:themeColor="accent1" w:themeShade="BF"/>
    </w:rPr>
  </w:style>
  <w:style w:type="paragraph" w:styleId="IntenseQuote">
    <w:name w:val="Intense Quote"/>
    <w:basedOn w:val="Normal"/>
    <w:next w:val="Normal"/>
    <w:link w:val="IntenseQuoteChar"/>
    <w:uiPriority w:val="30"/>
    <w:qFormat/>
    <w:rsid w:val="001F4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285"/>
    <w:rPr>
      <w:i/>
      <w:iCs/>
      <w:color w:val="0F4761" w:themeColor="accent1" w:themeShade="BF"/>
    </w:rPr>
  </w:style>
  <w:style w:type="character" w:styleId="IntenseReference">
    <w:name w:val="Intense Reference"/>
    <w:basedOn w:val="DefaultParagraphFont"/>
    <w:uiPriority w:val="32"/>
    <w:qFormat/>
    <w:rsid w:val="001F4285"/>
    <w:rPr>
      <w:b/>
      <w:bCs/>
      <w:smallCaps/>
      <w:color w:val="0F4761" w:themeColor="accent1" w:themeShade="BF"/>
      <w:spacing w:val="5"/>
    </w:rPr>
  </w:style>
  <w:style w:type="paragraph" w:styleId="Header">
    <w:name w:val="header"/>
    <w:basedOn w:val="Normal"/>
    <w:link w:val="HeaderChar"/>
    <w:uiPriority w:val="99"/>
    <w:unhideWhenUsed/>
    <w:rsid w:val="001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285"/>
  </w:style>
  <w:style w:type="paragraph" w:styleId="Footer">
    <w:name w:val="footer"/>
    <w:basedOn w:val="Normal"/>
    <w:link w:val="FooterChar"/>
    <w:uiPriority w:val="99"/>
    <w:unhideWhenUsed/>
    <w:rsid w:val="001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525</Words>
  <Characters>2630</Characters>
  <Application>Microsoft Office Word</Application>
  <DocSecurity>0</DocSecurity>
  <Lines>79</Lines>
  <Paragraphs>65</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5</cp:revision>
  <dcterms:created xsi:type="dcterms:W3CDTF">2025-09-03T17:59:00Z</dcterms:created>
  <dcterms:modified xsi:type="dcterms:W3CDTF">2025-11-29T14:51:00Z</dcterms:modified>
</cp:coreProperties>
</file>