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546E" w14:textId="4A7DB812" w:rsidR="00756908" w:rsidRPr="00756908" w:rsidRDefault="00756908" w:rsidP="00756908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0A8C888F" wp14:editId="4578D91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90600" cy="565785"/>
            <wp:effectExtent l="0" t="0" r="0" b="5715"/>
            <wp:wrapThrough wrapText="bothSides">
              <wp:wrapPolygon edited="0">
                <wp:start x="0" y="0"/>
                <wp:lineTo x="0" y="21091"/>
                <wp:lineTo x="21185" y="21091"/>
                <wp:lineTo x="21185" y="0"/>
                <wp:lineTo x="0" y="0"/>
              </wp:wrapPolygon>
            </wp:wrapThrough>
            <wp:docPr id="329026423" name="Picture 1" descr="A logo with a swirl of gold parti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26423" name="Picture 1" descr="A logo with a swirl of gold particle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44"/>
          <w:szCs w:val="44"/>
        </w:rPr>
        <w:t>Remedy Hybrid Imprinting Process</w:t>
      </w:r>
    </w:p>
    <w:p w14:paraId="0464A7C0" w14:textId="08C0DF80" w:rsidR="00756908" w:rsidRPr="00756908" w:rsidRDefault="00756908" w:rsidP="00756908">
      <w:r w:rsidRPr="00756908">
        <w:rPr>
          <w:b/>
          <w:bCs/>
        </w:rPr>
        <w:t xml:space="preserve">Supporting Practitioners in Applying </w:t>
      </w:r>
      <w:r>
        <w:rPr>
          <w:b/>
          <w:bCs/>
        </w:rPr>
        <w:t>a Remedy</w:t>
      </w:r>
      <w:r w:rsidRPr="00756908">
        <w:rPr>
          <w:b/>
          <w:bCs/>
        </w:rPr>
        <w:t xml:space="preserve"> Protocol with Confidence</w:t>
      </w:r>
    </w:p>
    <w:p w14:paraId="2484358A" w14:textId="77777777" w:rsidR="00756908" w:rsidRPr="00756908" w:rsidRDefault="00756908" w:rsidP="00756908">
      <w:r w:rsidRPr="00756908">
        <w:pict w14:anchorId="4C8E3423">
          <v:rect id="_x0000_i1073" style="width:0;height:1.5pt" o:hralign="center" o:hrstd="t" o:hr="t" fillcolor="#a0a0a0" stroked="f"/>
        </w:pict>
      </w:r>
    </w:p>
    <w:p w14:paraId="7F06AFDC" w14:textId="7C7F1ED3" w:rsidR="00756908" w:rsidRPr="00756908" w:rsidRDefault="00756908" w:rsidP="00756908">
      <w:pPr>
        <w:rPr>
          <w:b/>
          <w:bCs/>
        </w:rPr>
      </w:pPr>
      <w:r w:rsidRPr="00756908">
        <w:rPr>
          <w:b/>
          <w:bCs/>
        </w:rPr>
        <w:t>Understanding the “Show All” Function</w:t>
      </w:r>
    </w:p>
    <w:p w14:paraId="3E95797B" w14:textId="77777777" w:rsidR="00756908" w:rsidRPr="00756908" w:rsidRDefault="00756908" w:rsidP="00756908">
      <w:pPr>
        <w:numPr>
          <w:ilvl w:val="0"/>
          <w:numId w:val="1"/>
        </w:numPr>
      </w:pPr>
      <w:r w:rsidRPr="00756908">
        <w:rPr>
          <w:b/>
          <w:bCs/>
        </w:rPr>
        <w:t>When to Use:</w:t>
      </w:r>
      <w:r w:rsidRPr="00756908">
        <w:br/>
        <w:t xml:space="preserve">Use </w:t>
      </w:r>
      <w:r w:rsidRPr="00756908">
        <w:rPr>
          <w:i/>
          <w:iCs/>
        </w:rPr>
        <w:t>Show All</w:t>
      </w:r>
      <w:r w:rsidRPr="00756908">
        <w:t xml:space="preserve"> in foundational scans (e.g., </w:t>
      </w:r>
      <w:r w:rsidRPr="00756908">
        <w:rPr>
          <w:b/>
          <w:bCs/>
        </w:rPr>
        <w:t>Hemoglobin</w:t>
      </w:r>
      <w:r w:rsidRPr="00756908">
        <w:t xml:space="preserve">, </w:t>
      </w:r>
      <w:r w:rsidRPr="00756908">
        <w:rPr>
          <w:b/>
          <w:bCs/>
        </w:rPr>
        <w:t>Body of Man/Woman</w:t>
      </w:r>
      <w:r w:rsidRPr="00756908">
        <w:t xml:space="preserve">) to allow the system to evaluate </w:t>
      </w:r>
      <w:r w:rsidRPr="00756908">
        <w:rPr>
          <w:i/>
          <w:iCs/>
        </w:rPr>
        <w:t>all potential remedies</w:t>
      </w:r>
      <w:r w:rsidRPr="00756908">
        <w:t>, including those not immediately visible.</w:t>
      </w:r>
    </w:p>
    <w:p w14:paraId="07622ACB" w14:textId="77777777" w:rsidR="00756908" w:rsidRPr="00756908" w:rsidRDefault="00756908" w:rsidP="00756908">
      <w:pPr>
        <w:numPr>
          <w:ilvl w:val="0"/>
          <w:numId w:val="1"/>
        </w:numPr>
      </w:pPr>
      <w:r w:rsidRPr="00756908">
        <w:rPr>
          <w:b/>
          <w:bCs/>
        </w:rPr>
        <w:t>Why It Matters:</w:t>
      </w:r>
      <w:r w:rsidRPr="00756908">
        <w:br/>
        <w:t xml:space="preserve">This expands the list for </w:t>
      </w:r>
      <w:r w:rsidRPr="00756908">
        <w:rPr>
          <w:b/>
          <w:bCs/>
        </w:rPr>
        <w:t>Auto Model</w:t>
      </w:r>
      <w:r w:rsidRPr="00756908">
        <w:t xml:space="preserve"> to assess remedies based on the client’s full energetic field — giving you broader yet more personalized results.</w:t>
      </w:r>
    </w:p>
    <w:p w14:paraId="5C106FAE" w14:textId="77777777" w:rsidR="00756908" w:rsidRPr="00756908" w:rsidRDefault="00756908" w:rsidP="00756908">
      <w:pPr>
        <w:numPr>
          <w:ilvl w:val="0"/>
          <w:numId w:val="1"/>
        </w:numPr>
      </w:pPr>
      <w:r w:rsidRPr="00756908">
        <w:rPr>
          <w:b/>
          <w:bCs/>
        </w:rPr>
        <w:t>Tip:</w:t>
      </w:r>
      <w:r w:rsidRPr="00756908">
        <w:br/>
        <w:t xml:space="preserve">Only include remedies with a </w:t>
      </w:r>
      <w:r w:rsidRPr="00756908">
        <w:rPr>
          <w:b/>
          <w:bCs/>
        </w:rPr>
        <w:t>Virtual Model Number (VMN) ≥ 4</w:t>
      </w:r>
      <w:r w:rsidRPr="00756908">
        <w:t xml:space="preserve"> in your final playlist unless otherwise indicated by clinical needs.</w:t>
      </w:r>
    </w:p>
    <w:p w14:paraId="7D99606A" w14:textId="77777777" w:rsidR="00756908" w:rsidRPr="00756908" w:rsidRDefault="00756908" w:rsidP="00756908">
      <w:r w:rsidRPr="00756908">
        <w:pict w14:anchorId="0672EE8C">
          <v:rect id="_x0000_i1074" style="width:0;height:1.5pt" o:hralign="center" o:hrstd="t" o:hr="t" fillcolor="#a0a0a0" stroked="f"/>
        </w:pict>
      </w:r>
    </w:p>
    <w:p w14:paraId="0014CC88" w14:textId="18C84D96" w:rsidR="00756908" w:rsidRPr="00756908" w:rsidRDefault="00756908" w:rsidP="00756908">
      <w:pPr>
        <w:rPr>
          <w:b/>
          <w:bCs/>
        </w:rPr>
      </w:pPr>
      <w:r w:rsidRPr="00756908">
        <w:rPr>
          <w:b/>
          <w:bCs/>
        </w:rPr>
        <w:t>Using Auto Model vs. Manual Selection</w:t>
      </w:r>
    </w:p>
    <w:p w14:paraId="38F720FF" w14:textId="77777777" w:rsidR="00756908" w:rsidRPr="00756908" w:rsidRDefault="00756908" w:rsidP="00756908">
      <w:pPr>
        <w:numPr>
          <w:ilvl w:val="0"/>
          <w:numId w:val="2"/>
        </w:numPr>
      </w:pPr>
      <w:r w:rsidRPr="00756908">
        <w:rPr>
          <w:b/>
          <w:bCs/>
        </w:rPr>
        <w:t>Auto Model</w:t>
      </w:r>
      <w:r w:rsidRPr="00756908">
        <w:t xml:space="preserve"> is a powerful tool to surface high-priority remedies.</w:t>
      </w:r>
    </w:p>
    <w:p w14:paraId="7BB9BB30" w14:textId="77777777" w:rsidR="00756908" w:rsidRPr="00756908" w:rsidRDefault="00756908" w:rsidP="00756908">
      <w:pPr>
        <w:numPr>
          <w:ilvl w:val="0"/>
          <w:numId w:val="2"/>
        </w:numPr>
      </w:pPr>
      <w:r w:rsidRPr="00756908">
        <w:t xml:space="preserve">It </w:t>
      </w:r>
      <w:r w:rsidRPr="00756908">
        <w:rPr>
          <w:b/>
          <w:bCs/>
        </w:rPr>
        <w:t>does not replace dispersion or coefficient analysis</w:t>
      </w:r>
      <w:r w:rsidRPr="00756908">
        <w:t xml:space="preserve"> but works in parallel.</w:t>
      </w:r>
    </w:p>
    <w:p w14:paraId="1F4F2523" w14:textId="77777777" w:rsidR="00756908" w:rsidRPr="00756908" w:rsidRDefault="00756908" w:rsidP="00756908">
      <w:pPr>
        <w:numPr>
          <w:ilvl w:val="0"/>
          <w:numId w:val="2"/>
        </w:numPr>
      </w:pPr>
      <w:r w:rsidRPr="00756908">
        <w:t xml:space="preserve">You can still </w:t>
      </w:r>
      <w:r w:rsidRPr="00756908">
        <w:rPr>
          <w:b/>
          <w:bCs/>
        </w:rPr>
        <w:t>manually add</w:t>
      </w:r>
      <w:r w:rsidRPr="00756908">
        <w:t xml:space="preserve"> remedies identified via keyword search if they show low dispersion or known clinical relevance.</w:t>
      </w:r>
    </w:p>
    <w:p w14:paraId="3A507D91" w14:textId="77777777" w:rsidR="00756908" w:rsidRPr="00756908" w:rsidRDefault="00756908" w:rsidP="00756908">
      <w:r w:rsidRPr="00756908">
        <w:pict w14:anchorId="02361D72">
          <v:rect id="_x0000_i1075" style="width:0;height:1.5pt" o:hralign="center" o:hrstd="t" o:hr="t" fillcolor="#a0a0a0" stroked="f"/>
        </w:pict>
      </w:r>
    </w:p>
    <w:p w14:paraId="3CEDF2F3" w14:textId="6D3D8003" w:rsidR="00756908" w:rsidRPr="00756908" w:rsidRDefault="00756908" w:rsidP="00756908">
      <w:pPr>
        <w:rPr>
          <w:b/>
          <w:bCs/>
        </w:rPr>
      </w:pPr>
      <w:r w:rsidRPr="00756908">
        <w:rPr>
          <w:b/>
          <w:bCs/>
        </w:rPr>
        <w:t>The “Water Drop Theory” &amp; Stacking Remedies</w:t>
      </w:r>
    </w:p>
    <w:p w14:paraId="0F8E34DD" w14:textId="77777777" w:rsidR="00756908" w:rsidRPr="00756908" w:rsidRDefault="00756908" w:rsidP="00756908">
      <w:pPr>
        <w:numPr>
          <w:ilvl w:val="0"/>
          <w:numId w:val="3"/>
        </w:numPr>
      </w:pPr>
      <w:r w:rsidRPr="00756908">
        <w:t xml:space="preserve">A single drop of water (or medium) can hold </w:t>
      </w:r>
      <w:r w:rsidRPr="00756908">
        <w:rPr>
          <w:b/>
          <w:bCs/>
        </w:rPr>
        <w:t>multiple frequencies</w:t>
      </w:r>
      <w:r w:rsidRPr="00756908">
        <w:t xml:space="preserve"> effectively — supporting the </w:t>
      </w:r>
      <w:r w:rsidRPr="00756908">
        <w:rPr>
          <w:b/>
          <w:bCs/>
        </w:rPr>
        <w:t>stacking</w:t>
      </w:r>
      <w:r w:rsidRPr="00756908">
        <w:t xml:space="preserve"> of remedies in one tincture or cream.</w:t>
      </w:r>
    </w:p>
    <w:p w14:paraId="5D8EBAEE" w14:textId="77777777" w:rsidR="00756908" w:rsidRPr="00756908" w:rsidRDefault="00756908" w:rsidP="00756908">
      <w:pPr>
        <w:numPr>
          <w:ilvl w:val="0"/>
          <w:numId w:val="3"/>
        </w:numPr>
      </w:pPr>
      <w:r w:rsidRPr="00756908">
        <w:t xml:space="preserve">Supported by practices across other systems like </w:t>
      </w:r>
      <w:r w:rsidRPr="00756908">
        <w:rPr>
          <w:b/>
          <w:bCs/>
        </w:rPr>
        <w:t xml:space="preserve">Rife, </w:t>
      </w:r>
      <w:proofErr w:type="spellStart"/>
      <w:r w:rsidRPr="00756908">
        <w:rPr>
          <w:b/>
          <w:bCs/>
        </w:rPr>
        <w:t>Infopathy</w:t>
      </w:r>
      <w:proofErr w:type="spellEnd"/>
      <w:r w:rsidRPr="00756908">
        <w:rPr>
          <w:b/>
          <w:bCs/>
        </w:rPr>
        <w:t>, and Quest4</w:t>
      </w:r>
      <w:r w:rsidRPr="00756908">
        <w:t>.</w:t>
      </w:r>
    </w:p>
    <w:p w14:paraId="47A62297" w14:textId="77777777" w:rsidR="00756908" w:rsidRPr="00756908" w:rsidRDefault="00756908" w:rsidP="00756908">
      <w:r w:rsidRPr="00756908">
        <w:pict w14:anchorId="711454CF">
          <v:rect id="_x0000_i1076" style="width:0;height:1.5pt" o:hralign="center" o:hrstd="t" o:hr="t" fillcolor="#a0a0a0" stroked="f"/>
        </w:pict>
      </w:r>
    </w:p>
    <w:p w14:paraId="4B89C46F" w14:textId="5384A315" w:rsidR="00756908" w:rsidRPr="00756908" w:rsidRDefault="00756908" w:rsidP="00756908">
      <w:pPr>
        <w:rPr>
          <w:b/>
          <w:bCs/>
        </w:rPr>
      </w:pPr>
      <w:r w:rsidRPr="00756908">
        <w:rPr>
          <w:b/>
          <w:bCs/>
        </w:rPr>
        <w:t>How Many Remedies Per Topic?</w:t>
      </w:r>
    </w:p>
    <w:p w14:paraId="7F41BE65" w14:textId="77777777" w:rsidR="00756908" w:rsidRPr="00756908" w:rsidRDefault="00756908" w:rsidP="00756908">
      <w:pPr>
        <w:numPr>
          <w:ilvl w:val="0"/>
          <w:numId w:val="4"/>
        </w:numPr>
      </w:pPr>
      <w:r w:rsidRPr="00756908">
        <w:t xml:space="preserve">The original guideline (5–7 per topic) is a helpful </w:t>
      </w:r>
      <w:r w:rsidRPr="00756908">
        <w:rPr>
          <w:b/>
          <w:bCs/>
        </w:rPr>
        <w:t>starting point</w:t>
      </w:r>
      <w:r w:rsidRPr="00756908">
        <w:t>.</w:t>
      </w:r>
    </w:p>
    <w:p w14:paraId="1832345C" w14:textId="77777777" w:rsidR="00756908" w:rsidRPr="00756908" w:rsidRDefault="00756908" w:rsidP="00756908">
      <w:pPr>
        <w:numPr>
          <w:ilvl w:val="0"/>
          <w:numId w:val="4"/>
        </w:numPr>
      </w:pPr>
      <w:r w:rsidRPr="00756908">
        <w:t xml:space="preserve">However, </w:t>
      </w:r>
      <w:r w:rsidRPr="00756908">
        <w:rPr>
          <w:b/>
          <w:bCs/>
        </w:rPr>
        <w:t>energetic relevance overrides fixed numbers</w:t>
      </w:r>
      <w:r w:rsidRPr="00756908">
        <w:t xml:space="preserve"> — include as many as needed based on VMN and dispersion values.</w:t>
      </w:r>
    </w:p>
    <w:p w14:paraId="590F7713" w14:textId="77777777" w:rsidR="00756908" w:rsidRPr="00756908" w:rsidRDefault="00756908" w:rsidP="00756908">
      <w:pPr>
        <w:numPr>
          <w:ilvl w:val="0"/>
          <w:numId w:val="4"/>
        </w:numPr>
      </w:pPr>
      <w:r w:rsidRPr="00756908">
        <w:t xml:space="preserve">Always prioritize </w:t>
      </w:r>
      <w:r w:rsidRPr="00756908">
        <w:rPr>
          <w:b/>
          <w:bCs/>
        </w:rPr>
        <w:t>quality over quantity</w:t>
      </w:r>
      <w:r w:rsidRPr="00756908">
        <w:t xml:space="preserve"> — include only what supports the client’s current scan profile.</w:t>
      </w:r>
    </w:p>
    <w:p w14:paraId="415802F2" w14:textId="77777777" w:rsidR="00756908" w:rsidRPr="00756908" w:rsidRDefault="00756908" w:rsidP="00756908">
      <w:r w:rsidRPr="00756908">
        <w:pict w14:anchorId="34068476">
          <v:rect id="_x0000_i1077" style="width:0;height:1.5pt" o:hralign="center" o:hrstd="t" o:hr="t" fillcolor="#a0a0a0" stroked="f"/>
        </w:pict>
      </w:r>
    </w:p>
    <w:p w14:paraId="6875DF18" w14:textId="48F8D9E0" w:rsidR="00756908" w:rsidRPr="00756908" w:rsidRDefault="00756908" w:rsidP="00756908">
      <w:pPr>
        <w:rPr>
          <w:b/>
          <w:bCs/>
        </w:rPr>
      </w:pPr>
      <w:r w:rsidRPr="00756908">
        <w:rPr>
          <w:b/>
          <w:bCs/>
        </w:rPr>
        <w:lastRenderedPageBreak/>
        <w:t>Preset Use vs. Remedy Lists</w:t>
      </w:r>
    </w:p>
    <w:p w14:paraId="0CFC8C1D" w14:textId="78DD32F3" w:rsidR="00756908" w:rsidRPr="00756908" w:rsidRDefault="00756908" w:rsidP="00756908">
      <w:pPr>
        <w:numPr>
          <w:ilvl w:val="0"/>
          <w:numId w:val="5"/>
        </w:numPr>
      </w:pPr>
      <w:proofErr w:type="gramStart"/>
      <w:r w:rsidRPr="00756908">
        <w:rPr>
          <w:b/>
          <w:bCs/>
        </w:rPr>
        <w:t>P</w:t>
      </w:r>
      <w:r>
        <w:rPr>
          <w:b/>
          <w:bCs/>
        </w:rPr>
        <w:t>laylist</w:t>
      </w:r>
      <w:proofErr w:type="gramEnd"/>
      <w:r w:rsidRPr="00756908">
        <w:rPr>
          <w:b/>
          <w:bCs/>
        </w:rPr>
        <w:t xml:space="preserve"> are not typically reused</w:t>
      </w:r>
      <w:r w:rsidRPr="00756908">
        <w:t xml:space="preserve"> across sessions because energetic needs shift after therapy.</w:t>
      </w:r>
    </w:p>
    <w:p w14:paraId="4F97F9B1" w14:textId="77777777" w:rsidR="00756908" w:rsidRPr="00756908" w:rsidRDefault="00756908" w:rsidP="00756908">
      <w:pPr>
        <w:numPr>
          <w:ilvl w:val="0"/>
          <w:numId w:val="5"/>
        </w:numPr>
      </w:pPr>
      <w:r w:rsidRPr="00756908">
        <w:rPr>
          <w:b/>
          <w:bCs/>
        </w:rPr>
        <w:t>Instead:</w:t>
      </w:r>
      <w:r w:rsidRPr="00756908">
        <w:br/>
        <w:t xml:space="preserve">Save a </w:t>
      </w:r>
      <w:r w:rsidRPr="00756908">
        <w:rPr>
          <w:b/>
          <w:bCs/>
        </w:rPr>
        <w:t>customized remedy list</w:t>
      </w:r>
      <w:r w:rsidRPr="00756908">
        <w:t xml:space="preserve"> per client (with VMNs), especially if doing </w:t>
      </w:r>
      <w:r w:rsidRPr="00756908">
        <w:rPr>
          <w:b/>
          <w:bCs/>
        </w:rPr>
        <w:t>weekly RF preparations</w:t>
      </w:r>
      <w:r w:rsidRPr="00756908">
        <w:t>.</w:t>
      </w:r>
    </w:p>
    <w:p w14:paraId="1452EE3E" w14:textId="77777777" w:rsidR="00756908" w:rsidRPr="00756908" w:rsidRDefault="00756908" w:rsidP="00756908">
      <w:pPr>
        <w:numPr>
          <w:ilvl w:val="0"/>
          <w:numId w:val="5"/>
        </w:numPr>
      </w:pPr>
      <w:r w:rsidRPr="00756908">
        <w:rPr>
          <w:b/>
          <w:bCs/>
        </w:rPr>
        <w:t>Re-evaluate every 4–6 weeks</w:t>
      </w:r>
      <w:r w:rsidRPr="00756908">
        <w:t xml:space="preserve"> for tinctures or topical mediums.</w:t>
      </w:r>
    </w:p>
    <w:p w14:paraId="4C8A8C6D" w14:textId="77777777" w:rsidR="00756908" w:rsidRPr="00756908" w:rsidRDefault="00756908" w:rsidP="00756908">
      <w:r w:rsidRPr="00756908">
        <w:pict w14:anchorId="791465A0">
          <v:rect id="_x0000_i1078" style="width:0;height:1.5pt" o:hralign="center" o:hrstd="t" o:hr="t" fillcolor="#a0a0a0" stroked="f"/>
        </w:pict>
      </w:r>
    </w:p>
    <w:p w14:paraId="7A3A0B82" w14:textId="23A419BA" w:rsidR="00756908" w:rsidRPr="00756908" w:rsidRDefault="00756908" w:rsidP="00756908">
      <w:pPr>
        <w:rPr>
          <w:b/>
          <w:bCs/>
        </w:rPr>
      </w:pPr>
      <w:r w:rsidRPr="00756908">
        <w:rPr>
          <w:b/>
          <w:bCs/>
        </w:rPr>
        <w:t>Building the Invert &amp; Non-Invert Playlists</w:t>
      </w:r>
    </w:p>
    <w:p w14:paraId="1FD8793B" w14:textId="77777777" w:rsidR="00756908" w:rsidRPr="00756908" w:rsidRDefault="00756908" w:rsidP="00756908">
      <w:pPr>
        <w:numPr>
          <w:ilvl w:val="0"/>
          <w:numId w:val="6"/>
        </w:numPr>
      </w:pPr>
      <w:r w:rsidRPr="00756908">
        <w:rPr>
          <w:b/>
          <w:bCs/>
        </w:rPr>
        <w:t>Non-Invert</w:t>
      </w:r>
      <w:r w:rsidRPr="00756908">
        <w:t xml:space="preserve">: Supportive (e.g., Allopathy, </w:t>
      </w:r>
      <w:proofErr w:type="spellStart"/>
      <w:r w:rsidRPr="00756908">
        <w:t>Organopreparat</w:t>
      </w:r>
      <w:proofErr w:type="spellEnd"/>
      <w:r w:rsidRPr="00756908">
        <w:t xml:space="preserve">, </w:t>
      </w:r>
      <w:proofErr w:type="spellStart"/>
      <w:r w:rsidRPr="00756908">
        <w:t>Nutricevtics</w:t>
      </w:r>
      <w:proofErr w:type="spellEnd"/>
      <w:r w:rsidRPr="00756908">
        <w:t>).</w:t>
      </w:r>
    </w:p>
    <w:p w14:paraId="4EAFA1C7" w14:textId="77777777" w:rsidR="00756908" w:rsidRPr="00756908" w:rsidRDefault="00756908" w:rsidP="00756908">
      <w:pPr>
        <w:numPr>
          <w:ilvl w:val="0"/>
          <w:numId w:val="6"/>
        </w:numPr>
      </w:pPr>
      <w:r w:rsidRPr="00756908">
        <w:rPr>
          <w:b/>
          <w:bCs/>
        </w:rPr>
        <w:t>Invert</w:t>
      </w:r>
      <w:r w:rsidRPr="00756908">
        <w:t>: Balancing or clearing (e.g., Pathology, Microorganisms, Heavy Metals).</w:t>
      </w:r>
    </w:p>
    <w:p w14:paraId="42DE24DC" w14:textId="77777777" w:rsidR="00756908" w:rsidRPr="00756908" w:rsidRDefault="00756908" w:rsidP="00756908">
      <w:pPr>
        <w:numPr>
          <w:ilvl w:val="0"/>
          <w:numId w:val="6"/>
        </w:numPr>
      </w:pPr>
      <w:r w:rsidRPr="00756908">
        <w:t xml:space="preserve">Use </w:t>
      </w:r>
      <w:r w:rsidRPr="00756908">
        <w:rPr>
          <w:b/>
          <w:bCs/>
        </w:rPr>
        <w:t>Auto Model</w:t>
      </w:r>
      <w:r w:rsidRPr="00756908">
        <w:t xml:space="preserve"> within each group, select high-VMN items, and imprint accordingly.</w:t>
      </w:r>
    </w:p>
    <w:p w14:paraId="5F38F665" w14:textId="77777777" w:rsidR="00756908" w:rsidRPr="00756908" w:rsidRDefault="00756908" w:rsidP="00756908">
      <w:pPr>
        <w:numPr>
          <w:ilvl w:val="0"/>
          <w:numId w:val="6"/>
        </w:numPr>
      </w:pPr>
      <w:r w:rsidRPr="00756908">
        <w:rPr>
          <w:b/>
          <w:bCs/>
        </w:rPr>
        <w:t>Invert remedies</w:t>
      </w:r>
      <w:r w:rsidRPr="00756908">
        <w:t xml:space="preserve"> must be processed through the </w:t>
      </w:r>
      <w:r w:rsidRPr="00756908">
        <w:rPr>
          <w:b/>
          <w:bCs/>
        </w:rPr>
        <w:t>Invert function</w:t>
      </w:r>
      <w:r w:rsidRPr="00756908">
        <w:t xml:space="preserve"> before imprinting.</w:t>
      </w:r>
    </w:p>
    <w:p w14:paraId="27515ECE" w14:textId="77777777" w:rsidR="00756908" w:rsidRPr="00756908" w:rsidRDefault="00756908" w:rsidP="00756908">
      <w:r w:rsidRPr="00756908">
        <w:pict w14:anchorId="1E8BA543">
          <v:rect id="_x0000_i1079" style="width:0;height:1.5pt" o:hralign="center" o:hrstd="t" o:hr="t" fillcolor="#a0a0a0" stroked="f"/>
        </w:pict>
      </w:r>
    </w:p>
    <w:p w14:paraId="77AEBDB4" w14:textId="3A6CA91C" w:rsidR="00756908" w:rsidRPr="00756908" w:rsidRDefault="00756908" w:rsidP="00756908">
      <w:pPr>
        <w:rPr>
          <w:b/>
          <w:bCs/>
        </w:rPr>
      </w:pPr>
      <w:r w:rsidRPr="00756908">
        <w:rPr>
          <w:b/>
          <w:bCs/>
        </w:rPr>
        <w:t>Tips for Efficient Workflow</w:t>
      </w:r>
    </w:p>
    <w:p w14:paraId="05B09D6D" w14:textId="77777777" w:rsidR="00756908" w:rsidRPr="00756908" w:rsidRDefault="00756908" w:rsidP="00756908">
      <w:pPr>
        <w:numPr>
          <w:ilvl w:val="0"/>
          <w:numId w:val="7"/>
        </w:numPr>
      </w:pPr>
      <w:r w:rsidRPr="00756908">
        <w:t xml:space="preserve">Start with a </w:t>
      </w:r>
      <w:r w:rsidRPr="00756908">
        <w:rPr>
          <w:b/>
          <w:bCs/>
        </w:rPr>
        <w:t>2-target scan</w:t>
      </w:r>
      <w:r w:rsidRPr="00756908">
        <w:t xml:space="preserve"> from the Universal Detox list daily.</w:t>
      </w:r>
    </w:p>
    <w:p w14:paraId="63941BF6" w14:textId="77777777" w:rsidR="00756908" w:rsidRPr="00756908" w:rsidRDefault="00756908" w:rsidP="00756908">
      <w:pPr>
        <w:numPr>
          <w:ilvl w:val="0"/>
          <w:numId w:val="7"/>
        </w:numPr>
      </w:pPr>
      <w:r w:rsidRPr="00756908">
        <w:t xml:space="preserve">Use </w:t>
      </w:r>
      <w:r w:rsidRPr="00756908">
        <w:rPr>
          <w:b/>
          <w:bCs/>
        </w:rPr>
        <w:t xml:space="preserve">Auto Model → Copy high VMNs → Paste into </w:t>
      </w:r>
      <w:proofErr w:type="spellStart"/>
      <w:r w:rsidRPr="00756908">
        <w:rPr>
          <w:b/>
          <w:bCs/>
        </w:rPr>
        <w:t>Reprinter</w:t>
      </w:r>
      <w:proofErr w:type="spellEnd"/>
      <w:r w:rsidRPr="00756908">
        <w:t>.</w:t>
      </w:r>
    </w:p>
    <w:p w14:paraId="4401A381" w14:textId="77777777" w:rsidR="00756908" w:rsidRPr="00756908" w:rsidRDefault="00756908" w:rsidP="00756908">
      <w:pPr>
        <w:numPr>
          <w:ilvl w:val="0"/>
          <w:numId w:val="7"/>
        </w:numPr>
      </w:pPr>
      <w:r w:rsidRPr="00756908">
        <w:t xml:space="preserve">Prepare your playlist using </w:t>
      </w:r>
      <w:r w:rsidRPr="00756908">
        <w:rPr>
          <w:b/>
          <w:bCs/>
        </w:rPr>
        <w:t>stacked topic selection</w:t>
      </w:r>
      <w:r w:rsidRPr="00756908">
        <w:t xml:space="preserve"> to streamline imprinting.</w:t>
      </w:r>
    </w:p>
    <w:p w14:paraId="0DEA5E5D" w14:textId="77777777" w:rsidR="00756908" w:rsidRPr="00756908" w:rsidRDefault="00756908" w:rsidP="00756908">
      <w:pPr>
        <w:numPr>
          <w:ilvl w:val="0"/>
          <w:numId w:val="7"/>
        </w:numPr>
      </w:pPr>
      <w:r w:rsidRPr="00756908">
        <w:t xml:space="preserve">Always adjust </w:t>
      </w:r>
      <w:r w:rsidRPr="00756908">
        <w:rPr>
          <w:b/>
          <w:bCs/>
        </w:rPr>
        <w:t>Draw Count</w:t>
      </w:r>
      <w:r w:rsidRPr="00756908">
        <w:t xml:space="preserve"> based on sensitivity (start at 2,000; increase as needed).</w:t>
      </w:r>
    </w:p>
    <w:p w14:paraId="7332C8BC" w14:textId="77777777" w:rsidR="00756908" w:rsidRPr="00756908" w:rsidRDefault="00756908" w:rsidP="00756908">
      <w:r w:rsidRPr="00756908">
        <w:pict w14:anchorId="6E4FB1CF">
          <v:rect id="_x0000_i1080" style="width:0;height:1.5pt" o:hralign="center" o:hrstd="t" o:hr="t" fillcolor="#a0a0a0" stroked="f"/>
        </w:pict>
      </w:r>
    </w:p>
    <w:p w14:paraId="7E4BC1EA" w14:textId="78F79E4C" w:rsidR="00756908" w:rsidRPr="00756908" w:rsidRDefault="00756908" w:rsidP="00756908">
      <w:pPr>
        <w:rPr>
          <w:b/>
          <w:bCs/>
        </w:rPr>
      </w:pPr>
      <w:r w:rsidRPr="00756908">
        <w:rPr>
          <w:b/>
          <w:bCs/>
        </w:rPr>
        <w:t>Summary Takeaways</w:t>
      </w:r>
    </w:p>
    <w:p w14:paraId="3B5B2452" w14:textId="77777777" w:rsidR="00756908" w:rsidRPr="00756908" w:rsidRDefault="00756908" w:rsidP="00756908">
      <w:r w:rsidRPr="00756908">
        <w:rPr>
          <w:rFonts w:ascii="Segoe UI Symbol" w:hAnsi="Segoe UI Symbol" w:cs="Segoe UI Symbol"/>
        </w:rPr>
        <w:t>✔</w:t>
      </w:r>
      <w:r w:rsidRPr="00756908">
        <w:t xml:space="preserve"> </w:t>
      </w:r>
      <w:r w:rsidRPr="00756908">
        <w:rPr>
          <w:i/>
          <w:iCs/>
        </w:rPr>
        <w:t>Show All</w:t>
      </w:r>
      <w:r w:rsidRPr="00756908">
        <w:t xml:space="preserve"> is a tool — use it when broad visibility is needed.</w:t>
      </w:r>
      <w:r w:rsidRPr="00756908">
        <w:br/>
      </w:r>
      <w:r w:rsidRPr="00756908">
        <w:rPr>
          <w:rFonts w:ascii="Segoe UI Symbol" w:hAnsi="Segoe UI Symbol" w:cs="Segoe UI Symbol"/>
        </w:rPr>
        <w:t>✔</w:t>
      </w:r>
      <w:r w:rsidRPr="00756908">
        <w:t xml:space="preserve"> Auto Model is a guide </w:t>
      </w:r>
      <w:r w:rsidRPr="00756908">
        <w:rPr>
          <w:rFonts w:ascii="Calibri" w:hAnsi="Calibri" w:cs="Calibri"/>
        </w:rPr>
        <w:t>—</w:t>
      </w:r>
      <w:r w:rsidRPr="00756908">
        <w:t xml:space="preserve"> refine it with your clinical judgment.</w:t>
      </w:r>
      <w:r w:rsidRPr="00756908">
        <w:br/>
      </w:r>
      <w:r w:rsidRPr="00756908">
        <w:rPr>
          <w:rFonts w:ascii="Segoe UI Symbol" w:hAnsi="Segoe UI Symbol" w:cs="Segoe UI Symbol"/>
        </w:rPr>
        <w:t>✔</w:t>
      </w:r>
      <w:r w:rsidRPr="00756908">
        <w:t xml:space="preserve"> Presets are temporary </w:t>
      </w:r>
      <w:r w:rsidRPr="00756908">
        <w:rPr>
          <w:rFonts w:ascii="Calibri" w:hAnsi="Calibri" w:cs="Calibri"/>
        </w:rPr>
        <w:t>—</w:t>
      </w:r>
      <w:r w:rsidRPr="00756908">
        <w:t xml:space="preserve"> remedy lists should evolve with the client.</w:t>
      </w:r>
      <w:r w:rsidRPr="00756908">
        <w:br/>
      </w:r>
      <w:r w:rsidRPr="00756908">
        <w:rPr>
          <w:rFonts w:ascii="Segoe UI Symbol" w:hAnsi="Segoe UI Symbol" w:cs="Segoe UI Symbol"/>
        </w:rPr>
        <w:t>✔</w:t>
      </w:r>
      <w:r w:rsidRPr="00756908">
        <w:t xml:space="preserve"> Detox stacking is safe and effective when energetically guided.</w:t>
      </w:r>
      <w:r w:rsidRPr="00756908">
        <w:br/>
      </w:r>
      <w:r w:rsidRPr="00756908">
        <w:rPr>
          <w:rFonts w:ascii="Segoe UI Symbol" w:hAnsi="Segoe UI Symbol" w:cs="Segoe UI Symbol"/>
        </w:rPr>
        <w:t>✔</w:t>
      </w:r>
      <w:r w:rsidRPr="00756908">
        <w:t xml:space="preserve"> Frequency selection is about </w:t>
      </w:r>
      <w:r w:rsidRPr="00756908">
        <w:rPr>
          <w:b/>
          <w:bCs/>
        </w:rPr>
        <w:t>precision, not volume</w:t>
      </w:r>
      <w:r w:rsidRPr="00756908">
        <w:t xml:space="preserve"> — trust what the scan shows.</w:t>
      </w:r>
    </w:p>
    <w:p w14:paraId="4BEB6454" w14:textId="77777777" w:rsidR="001734A6" w:rsidRDefault="001734A6"/>
    <w:sectPr w:rsidR="001734A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0356" w14:textId="77777777" w:rsidR="00756908" w:rsidRDefault="00756908" w:rsidP="00756908">
      <w:pPr>
        <w:spacing w:after="0" w:line="240" w:lineRule="auto"/>
      </w:pPr>
      <w:r>
        <w:separator/>
      </w:r>
    </w:p>
  </w:endnote>
  <w:endnote w:type="continuationSeparator" w:id="0">
    <w:p w14:paraId="5FDB706B" w14:textId="77777777" w:rsidR="00756908" w:rsidRDefault="00756908" w:rsidP="0075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7602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6D9B41" w14:textId="50B65A49" w:rsidR="00756908" w:rsidRDefault="0075690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43554E" w14:textId="77777777" w:rsidR="00756908" w:rsidRDefault="007569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085E8" w14:textId="77777777" w:rsidR="00756908" w:rsidRDefault="00756908" w:rsidP="00756908">
      <w:pPr>
        <w:spacing w:after="0" w:line="240" w:lineRule="auto"/>
      </w:pPr>
      <w:r>
        <w:separator/>
      </w:r>
    </w:p>
  </w:footnote>
  <w:footnote w:type="continuationSeparator" w:id="0">
    <w:p w14:paraId="40A335EA" w14:textId="77777777" w:rsidR="00756908" w:rsidRDefault="00756908" w:rsidP="0075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4543" w14:textId="6E3752DD" w:rsidR="00756908" w:rsidRDefault="00756908">
    <w:pPr>
      <w:pStyle w:val="Header"/>
    </w:pPr>
    <w:r>
      <w:t>Enter Balancing Rays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50CE"/>
    <w:multiLevelType w:val="multilevel"/>
    <w:tmpl w:val="5D3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97E3F"/>
    <w:multiLevelType w:val="multilevel"/>
    <w:tmpl w:val="1A28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57649"/>
    <w:multiLevelType w:val="multilevel"/>
    <w:tmpl w:val="4FA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71CB5"/>
    <w:multiLevelType w:val="multilevel"/>
    <w:tmpl w:val="E470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E1DD6"/>
    <w:multiLevelType w:val="multilevel"/>
    <w:tmpl w:val="B6B8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124B81"/>
    <w:multiLevelType w:val="multilevel"/>
    <w:tmpl w:val="CAD6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617406"/>
    <w:multiLevelType w:val="multilevel"/>
    <w:tmpl w:val="9DA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8063879">
    <w:abstractNumId w:val="4"/>
  </w:num>
  <w:num w:numId="2" w16cid:durableId="343822201">
    <w:abstractNumId w:val="0"/>
  </w:num>
  <w:num w:numId="3" w16cid:durableId="391272269">
    <w:abstractNumId w:val="6"/>
  </w:num>
  <w:num w:numId="4" w16cid:durableId="1727532528">
    <w:abstractNumId w:val="3"/>
  </w:num>
  <w:num w:numId="5" w16cid:durableId="1532114028">
    <w:abstractNumId w:val="2"/>
  </w:num>
  <w:num w:numId="6" w16cid:durableId="1522667203">
    <w:abstractNumId w:val="5"/>
  </w:num>
  <w:num w:numId="7" w16cid:durableId="1876893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08"/>
    <w:rsid w:val="001734A6"/>
    <w:rsid w:val="003F7F95"/>
    <w:rsid w:val="006C4B12"/>
    <w:rsid w:val="0075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64231"/>
  <w15:chartTrackingRefBased/>
  <w15:docId w15:val="{11B20366-B96B-4659-B72E-AC5C4008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908"/>
  </w:style>
  <w:style w:type="paragraph" w:styleId="Footer">
    <w:name w:val="footer"/>
    <w:basedOn w:val="Normal"/>
    <w:link w:val="FooterChar"/>
    <w:uiPriority w:val="99"/>
    <w:unhideWhenUsed/>
    <w:rsid w:val="00756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Sabourin</dc:creator>
  <cp:keywords/>
  <dc:description/>
  <cp:lastModifiedBy>Kimberly Sabourin</cp:lastModifiedBy>
  <cp:revision>2</cp:revision>
  <dcterms:created xsi:type="dcterms:W3CDTF">2026-01-23T04:58:00Z</dcterms:created>
  <dcterms:modified xsi:type="dcterms:W3CDTF">2026-01-23T04:58:00Z</dcterms:modified>
</cp:coreProperties>
</file>