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3459" w14:textId="7421AC94" w:rsidR="004731E8" w:rsidRPr="004731E8" w:rsidRDefault="006428E8" w:rsidP="004731E8">
      <w:pPr>
        <w:rPr>
          <w:b/>
          <w:bCs/>
          <w:sz w:val="44"/>
          <w:szCs w:val="44"/>
        </w:rPr>
      </w:pPr>
      <w:r>
        <w:rPr>
          <w:noProof/>
        </w:rPr>
        <w:drawing>
          <wp:anchor distT="0" distB="0" distL="114300" distR="114300" simplePos="0" relativeHeight="251658240" behindDoc="0" locked="0" layoutInCell="1" allowOverlap="1" wp14:anchorId="056248D9" wp14:editId="37357BF3">
            <wp:simplePos x="0" y="0"/>
            <wp:positionH relativeFrom="margin">
              <wp:align>right</wp:align>
            </wp:positionH>
            <wp:positionV relativeFrom="paragraph">
              <wp:posOffset>0</wp:posOffset>
            </wp:positionV>
            <wp:extent cx="904875" cy="516890"/>
            <wp:effectExtent l="0" t="0" r="9525" b="0"/>
            <wp:wrapThrough wrapText="bothSides">
              <wp:wrapPolygon edited="0">
                <wp:start x="0" y="0"/>
                <wp:lineTo x="0" y="20698"/>
                <wp:lineTo x="21373" y="20698"/>
                <wp:lineTo x="21373" y="0"/>
                <wp:lineTo x="0" y="0"/>
              </wp:wrapPolygon>
            </wp:wrapThrough>
            <wp:docPr id="993670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70194" name="Picture 99367019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516890"/>
                    </a:xfrm>
                    <a:prstGeom prst="rect">
                      <a:avLst/>
                    </a:prstGeom>
                  </pic:spPr>
                </pic:pic>
              </a:graphicData>
            </a:graphic>
            <wp14:sizeRelH relativeFrom="margin">
              <wp14:pctWidth>0</wp14:pctWidth>
            </wp14:sizeRelH>
            <wp14:sizeRelV relativeFrom="margin">
              <wp14:pctHeight>0</wp14:pctHeight>
            </wp14:sizeRelV>
          </wp:anchor>
        </w:drawing>
      </w:r>
      <w:r w:rsidR="004731E8" w:rsidRPr="004731E8">
        <w:rPr>
          <w:b/>
          <w:bCs/>
          <w:sz w:val="44"/>
          <w:szCs w:val="44"/>
        </w:rPr>
        <w:t>Step-by-Step Guide: Peptide Therapy in Oberon</w:t>
      </w:r>
    </w:p>
    <w:p w14:paraId="21AF6677" w14:textId="77777777" w:rsidR="006428E8" w:rsidRDefault="006428E8" w:rsidP="006428E8">
      <w:pPr>
        <w:rPr>
          <w:b/>
          <w:bCs/>
        </w:rPr>
      </w:pPr>
      <w:bookmarkStart w:id="0" w:name="_Hlk226686802"/>
      <w:r>
        <w:pict w14:anchorId="066D4D1C">
          <v:rect id="_x0000_i1090" style="width:0;height:1.5pt" o:hralign="center" o:hrstd="t" o:hr="t" fillcolor="#a0a0a0" stroked="f"/>
        </w:pict>
      </w:r>
    </w:p>
    <w:p w14:paraId="60FA9774" w14:textId="77777777" w:rsidR="006428E8" w:rsidRPr="00671664" w:rsidRDefault="006428E8" w:rsidP="006428E8">
      <w:pPr>
        <w:rPr>
          <w:b/>
          <w:bCs/>
        </w:rPr>
      </w:pPr>
      <w:r w:rsidRPr="00671664">
        <w:rPr>
          <w:b/>
          <w:bCs/>
        </w:rPr>
        <w:t>Disclaimer</w:t>
      </w:r>
    </w:p>
    <w:p w14:paraId="08912E23" w14:textId="77777777" w:rsidR="006428E8" w:rsidRPr="00671664" w:rsidRDefault="006428E8" w:rsidP="006428E8">
      <w:r w:rsidRPr="00671664">
        <w:t xml:space="preserve">This training from </w:t>
      </w:r>
      <w:r w:rsidRPr="00671664">
        <w:rPr>
          <w:i/>
          <w:iCs/>
        </w:rPr>
        <w:t>Enter Balancing Rays</w:t>
      </w:r>
      <w:r w:rsidRPr="00671664">
        <w:t xml:space="preserve"> is for educational and entertainment purposes only. It does not provide medical advice and is not intended to diagnose, treat, or cure any condition. Use of this information is at your own discretion and risk.</w:t>
      </w:r>
    </w:p>
    <w:p w14:paraId="78163146" w14:textId="44A3A4E5" w:rsidR="006428E8" w:rsidRDefault="006428E8" w:rsidP="006428E8">
      <w:r>
        <w:pict w14:anchorId="2A33D642">
          <v:rect id="_x0000_i1091" style="width:0;height:1.5pt" o:hralign="center" o:hrstd="t" o:hr="t" fillcolor="#a0a0a0" stroked="f"/>
        </w:pict>
      </w:r>
      <w:bookmarkEnd w:id="0"/>
    </w:p>
    <w:p w14:paraId="40E9E950" w14:textId="452002BF" w:rsidR="004731E8" w:rsidRPr="004731E8" w:rsidRDefault="004731E8" w:rsidP="004731E8">
      <w:r w:rsidRPr="004731E8">
        <w:t>This guide focus</w:t>
      </w:r>
      <w:r w:rsidR="00421CB8">
        <w:t>es</w:t>
      </w:r>
      <w:r w:rsidRPr="004731E8">
        <w:t xml:space="preserve"> on </w:t>
      </w:r>
      <w:r w:rsidRPr="004731E8">
        <w:rPr>
          <w:b/>
          <w:bCs/>
        </w:rPr>
        <w:t>peptide therapy options</w:t>
      </w:r>
      <w:r w:rsidRPr="004731E8">
        <w:t> within the </w:t>
      </w:r>
      <w:r w:rsidRPr="004731E8">
        <w:rPr>
          <w:b/>
          <w:bCs/>
        </w:rPr>
        <w:t>Oberon biofeedback system</w:t>
      </w:r>
      <w:r w:rsidRPr="004731E8">
        <w:t>. It outlines the workflow, setup instructions, and key considerations for incorporating peptide and bioregulator remedies into client therapy plans.</w:t>
      </w:r>
    </w:p>
    <w:p w14:paraId="68A877A1" w14:textId="77777777" w:rsidR="004731E8" w:rsidRPr="004731E8" w:rsidRDefault="004731E8" w:rsidP="004731E8">
      <w:r w:rsidRPr="004731E8">
        <w:pict w14:anchorId="2D100F17">
          <v:rect id="_x0000_i1073" style="width:0;height:0" o:hralign="center" o:hrstd="t" o:hr="t" fillcolor="#a0a0a0" stroked="f"/>
        </w:pict>
      </w:r>
    </w:p>
    <w:p w14:paraId="220245F7" w14:textId="0FD823F1" w:rsidR="004731E8" w:rsidRPr="004731E8" w:rsidRDefault="004731E8" w:rsidP="004731E8">
      <w:pPr>
        <w:rPr>
          <w:b/>
          <w:bCs/>
        </w:rPr>
      </w:pPr>
      <w:r>
        <w:rPr>
          <w:b/>
          <w:bCs/>
        </w:rPr>
        <w:t>I</w:t>
      </w:r>
      <w:r>
        <w:rPr>
          <w:rFonts w:ascii="Tahoma" w:hAnsi="Tahoma" w:cs="Tahoma"/>
          <w:b/>
          <w:bCs/>
        </w:rPr>
        <w:t>.</w:t>
      </w:r>
      <w:r w:rsidRPr="004731E8">
        <w:rPr>
          <w:b/>
          <w:bCs/>
        </w:rPr>
        <w:t xml:space="preserve"> Preparation and Initial Focus</w:t>
      </w:r>
    </w:p>
    <w:p w14:paraId="4C42CC7A" w14:textId="207F8D96" w:rsidR="004731E8" w:rsidRPr="004731E8" w:rsidRDefault="004731E8" w:rsidP="004731E8">
      <w:pPr>
        <w:pStyle w:val="ListParagraph"/>
        <w:numPr>
          <w:ilvl w:val="0"/>
          <w:numId w:val="17"/>
        </w:numPr>
        <w:rPr>
          <w:b/>
          <w:bCs/>
        </w:rPr>
      </w:pPr>
      <w:r w:rsidRPr="004731E8">
        <w:rPr>
          <w:b/>
          <w:bCs/>
        </w:rPr>
        <w:t>Identify Client Readiness</w:t>
      </w:r>
    </w:p>
    <w:p w14:paraId="39AB438E" w14:textId="77777777" w:rsidR="004731E8" w:rsidRPr="004731E8" w:rsidRDefault="004731E8" w:rsidP="004731E8">
      <w:pPr>
        <w:numPr>
          <w:ilvl w:val="0"/>
          <w:numId w:val="1"/>
        </w:numPr>
        <w:tabs>
          <w:tab w:val="num" w:pos="720"/>
        </w:tabs>
      </w:pPr>
      <w:r w:rsidRPr="004731E8">
        <w:t>Begin peptide therapy </w:t>
      </w:r>
      <w:r w:rsidRPr="004731E8">
        <w:rPr>
          <w:b/>
          <w:bCs/>
        </w:rPr>
        <w:t>after at least 4 weeks</w:t>
      </w:r>
      <w:r w:rsidRPr="004731E8">
        <w:t> of foundational therapy.</w:t>
      </w:r>
    </w:p>
    <w:p w14:paraId="7A4B7340" w14:textId="77777777" w:rsidR="004731E8" w:rsidRPr="004731E8" w:rsidRDefault="004731E8" w:rsidP="004731E8">
      <w:pPr>
        <w:numPr>
          <w:ilvl w:val="0"/>
          <w:numId w:val="1"/>
        </w:numPr>
        <w:tabs>
          <w:tab w:val="num" w:pos="720"/>
        </w:tabs>
      </w:pPr>
      <w:r w:rsidRPr="004731E8">
        <w:t>Ensure the client’s microorganism population and </w:t>
      </w:r>
      <w:r w:rsidRPr="004731E8">
        <w:rPr>
          <w:b/>
          <w:bCs/>
        </w:rPr>
        <w:t>dispersion levels</w:t>
      </w:r>
      <w:r w:rsidRPr="004731E8">
        <w:t> are improved (ideally above 0.001).</w:t>
      </w:r>
    </w:p>
    <w:p w14:paraId="3B916832" w14:textId="3BEE4A08" w:rsidR="004731E8" w:rsidRPr="004731E8" w:rsidRDefault="004731E8" w:rsidP="004731E8">
      <w:pPr>
        <w:numPr>
          <w:ilvl w:val="0"/>
          <w:numId w:val="1"/>
        </w:numPr>
        <w:tabs>
          <w:tab w:val="num" w:pos="720"/>
        </w:tabs>
      </w:pPr>
      <w:r w:rsidRPr="004731E8">
        <w:t>Prioritize clearing </w:t>
      </w:r>
      <w:r w:rsidRPr="004731E8">
        <w:rPr>
          <w:b/>
          <w:bCs/>
        </w:rPr>
        <w:t>autoimmune conditions, pathogens, fungus, and mold</w:t>
      </w:r>
      <w:r w:rsidRPr="004731E8">
        <w:t> before peptide work.</w:t>
      </w:r>
    </w:p>
    <w:p w14:paraId="54570913" w14:textId="4E1444BC" w:rsidR="004731E8" w:rsidRPr="004731E8" w:rsidRDefault="004731E8" w:rsidP="004731E8">
      <w:pPr>
        <w:rPr>
          <w:b/>
          <w:bCs/>
        </w:rPr>
      </w:pPr>
      <w:r>
        <w:rPr>
          <w:b/>
          <w:bCs/>
        </w:rPr>
        <w:t xml:space="preserve">II. </w:t>
      </w:r>
      <w:r w:rsidRPr="004731E8">
        <w:rPr>
          <w:b/>
          <w:bCs/>
        </w:rPr>
        <w:t>Establish Therapy Focus</w:t>
      </w:r>
    </w:p>
    <w:p w14:paraId="2A03FF9C" w14:textId="796A97BA" w:rsidR="004731E8" w:rsidRPr="004731E8" w:rsidRDefault="00421CB8" w:rsidP="004731E8">
      <w:pPr>
        <w:numPr>
          <w:ilvl w:val="0"/>
          <w:numId w:val="2"/>
        </w:numPr>
      </w:pPr>
      <w:r>
        <w:t>Create a meta therapy</w:t>
      </w:r>
      <w:r w:rsidR="004731E8" w:rsidRPr="004731E8">
        <w:t xml:space="preserve"> plan </w:t>
      </w:r>
      <w:r>
        <w:t xml:space="preserve">based </w:t>
      </w:r>
      <w:r w:rsidR="004731E8" w:rsidRPr="004731E8">
        <w:t>on the </w:t>
      </w:r>
      <w:r w:rsidR="004731E8" w:rsidRPr="004731E8">
        <w:rPr>
          <w:b/>
          <w:bCs/>
        </w:rPr>
        <w:t>Advance Report</w:t>
      </w:r>
      <w:r w:rsidR="004731E8" w:rsidRPr="004731E8">
        <w:t>: look for main areas of imbalance and microbial issues</w:t>
      </w:r>
      <w:r>
        <w:t xml:space="preserve"> – using the dispersion values</w:t>
      </w:r>
      <w:r w:rsidR="004731E8" w:rsidRPr="004731E8">
        <w:t>.</w:t>
      </w:r>
    </w:p>
    <w:p w14:paraId="7671D81D" w14:textId="5C70991C" w:rsidR="004731E8" w:rsidRPr="004731E8" w:rsidRDefault="00421CB8" w:rsidP="004731E8">
      <w:pPr>
        <w:numPr>
          <w:ilvl w:val="0"/>
          <w:numId w:val="2"/>
        </w:numPr>
      </w:pPr>
      <w:r>
        <w:t>Create this plan</w:t>
      </w:r>
      <w:r w:rsidR="004731E8" w:rsidRPr="004731E8">
        <w:t xml:space="preserve"> before layering peptide therapy.</w:t>
      </w:r>
    </w:p>
    <w:p w14:paraId="087CC594" w14:textId="77777777" w:rsidR="004731E8" w:rsidRPr="004731E8" w:rsidRDefault="004731E8" w:rsidP="004731E8">
      <w:r w:rsidRPr="004731E8">
        <w:pict w14:anchorId="5C1FA21F">
          <v:rect id="_x0000_i1074" style="width:0;height:0" o:hralign="center" o:hrstd="t" o:hr="t" fillcolor="#a0a0a0" stroked="f"/>
        </w:pict>
      </w:r>
    </w:p>
    <w:p w14:paraId="35B467C1" w14:textId="586DAE5F" w:rsidR="004731E8" w:rsidRPr="004731E8" w:rsidRDefault="004731E8" w:rsidP="004731E8">
      <w:pPr>
        <w:rPr>
          <w:b/>
          <w:bCs/>
        </w:rPr>
      </w:pPr>
      <w:r>
        <w:rPr>
          <w:b/>
          <w:bCs/>
        </w:rPr>
        <w:t>III.</w:t>
      </w:r>
      <w:r w:rsidRPr="004731E8">
        <w:rPr>
          <w:b/>
          <w:bCs/>
        </w:rPr>
        <w:t xml:space="preserve"> Selecting Peptide Topics in Oberon</w:t>
      </w:r>
    </w:p>
    <w:p w14:paraId="64FD184D" w14:textId="6CD5142F" w:rsidR="004731E8" w:rsidRPr="004731E8" w:rsidRDefault="004731E8" w:rsidP="004731E8">
      <w:pPr>
        <w:pStyle w:val="ListParagraph"/>
        <w:numPr>
          <w:ilvl w:val="0"/>
          <w:numId w:val="17"/>
        </w:numPr>
        <w:rPr>
          <w:b/>
          <w:bCs/>
        </w:rPr>
      </w:pPr>
      <w:r w:rsidRPr="004731E8">
        <w:rPr>
          <w:b/>
          <w:bCs/>
        </w:rPr>
        <w:t>Main Starting Points</w:t>
      </w:r>
    </w:p>
    <w:p w14:paraId="5C9A1CDC" w14:textId="77777777" w:rsidR="004731E8" w:rsidRPr="004731E8" w:rsidRDefault="004731E8" w:rsidP="004731E8">
      <w:pPr>
        <w:numPr>
          <w:ilvl w:val="0"/>
          <w:numId w:val="3"/>
        </w:numPr>
        <w:tabs>
          <w:tab w:val="num" w:pos="720"/>
        </w:tabs>
      </w:pPr>
      <w:r w:rsidRPr="004731E8">
        <w:rPr>
          <w:b/>
          <w:bCs/>
        </w:rPr>
        <w:t>Primary topics to start with:</w:t>
      </w:r>
    </w:p>
    <w:p w14:paraId="1F520A6D" w14:textId="77777777" w:rsidR="004731E8" w:rsidRPr="004731E8" w:rsidRDefault="004731E8" w:rsidP="004731E8">
      <w:pPr>
        <w:numPr>
          <w:ilvl w:val="1"/>
          <w:numId w:val="3"/>
        </w:numPr>
        <w:tabs>
          <w:tab w:val="num" w:pos="1440"/>
        </w:tabs>
      </w:pPr>
      <w:r w:rsidRPr="004731E8">
        <w:rPr>
          <w:b/>
          <w:bCs/>
        </w:rPr>
        <w:t>Hemoglobin</w:t>
      </w:r>
      <w:r w:rsidRPr="004731E8">
        <w:t> — central focus for peptide therapy.</w:t>
      </w:r>
    </w:p>
    <w:p w14:paraId="2966BDA8" w14:textId="77777777" w:rsidR="004731E8" w:rsidRPr="004731E8" w:rsidRDefault="004731E8" w:rsidP="004731E8">
      <w:pPr>
        <w:numPr>
          <w:ilvl w:val="1"/>
          <w:numId w:val="3"/>
        </w:numPr>
        <w:tabs>
          <w:tab w:val="num" w:pos="1440"/>
        </w:tabs>
      </w:pPr>
      <w:r w:rsidRPr="004731E8">
        <w:rPr>
          <w:b/>
          <w:bCs/>
        </w:rPr>
        <w:t>Immunoglobulin</w:t>
      </w:r>
      <w:r w:rsidRPr="004731E8">
        <w:t> — supports immune-related processes.</w:t>
      </w:r>
    </w:p>
    <w:p w14:paraId="6586A980" w14:textId="40EECAB4" w:rsidR="004731E8" w:rsidRPr="004731E8" w:rsidRDefault="004731E8" w:rsidP="004731E8">
      <w:pPr>
        <w:pStyle w:val="ListParagraph"/>
        <w:numPr>
          <w:ilvl w:val="0"/>
          <w:numId w:val="3"/>
        </w:numPr>
        <w:rPr>
          <w:b/>
          <w:bCs/>
        </w:rPr>
      </w:pPr>
      <w:r w:rsidRPr="004731E8">
        <w:rPr>
          <w:b/>
          <w:bCs/>
        </w:rPr>
        <w:t>Finding Peptide Bioregulators</w:t>
      </w:r>
    </w:p>
    <w:p w14:paraId="7A217AAC" w14:textId="77777777" w:rsidR="004731E8" w:rsidRPr="004731E8" w:rsidRDefault="004731E8" w:rsidP="004731E8">
      <w:pPr>
        <w:numPr>
          <w:ilvl w:val="0"/>
          <w:numId w:val="4"/>
        </w:numPr>
        <w:tabs>
          <w:tab w:val="num" w:pos="720"/>
        </w:tabs>
      </w:pPr>
      <w:r w:rsidRPr="004731E8">
        <w:lastRenderedPageBreak/>
        <w:t>Go to </w:t>
      </w:r>
      <w:r w:rsidRPr="004731E8">
        <w:rPr>
          <w:b/>
          <w:bCs/>
        </w:rPr>
        <w:t>Topics → Search → “J# Homeopathy”</w:t>
      </w:r>
      <w:r w:rsidRPr="004731E8">
        <w:t>.</w:t>
      </w:r>
    </w:p>
    <w:p w14:paraId="716C1D41" w14:textId="77777777" w:rsidR="004731E8" w:rsidRPr="004731E8" w:rsidRDefault="004731E8" w:rsidP="004731E8">
      <w:pPr>
        <w:numPr>
          <w:ilvl w:val="1"/>
          <w:numId w:val="4"/>
        </w:numPr>
        <w:tabs>
          <w:tab w:val="num" w:pos="1440"/>
        </w:tabs>
      </w:pPr>
      <w:r w:rsidRPr="004731E8">
        <w:t>This section contains the </w:t>
      </w:r>
      <w:r w:rsidRPr="004731E8">
        <w:rPr>
          <w:b/>
          <w:bCs/>
        </w:rPr>
        <w:t>Peptide Bioregulators</w:t>
      </w:r>
      <w:r w:rsidRPr="004731E8">
        <w:t> library.</w:t>
      </w:r>
    </w:p>
    <w:p w14:paraId="5BAB41B8" w14:textId="01D3F2B0" w:rsidR="004731E8" w:rsidRPr="004731E8" w:rsidRDefault="004731E8" w:rsidP="004731E8">
      <w:pPr>
        <w:numPr>
          <w:ilvl w:val="0"/>
          <w:numId w:val="4"/>
        </w:numPr>
        <w:tabs>
          <w:tab w:val="num" w:pos="720"/>
        </w:tabs>
      </w:pPr>
      <w:r w:rsidRPr="004731E8">
        <w:t>Use the search term </w:t>
      </w:r>
      <w:r w:rsidRPr="004731E8">
        <w:rPr>
          <w:b/>
          <w:bCs/>
        </w:rPr>
        <w:t>“peptide”</w:t>
      </w:r>
      <w:r w:rsidRPr="004731E8">
        <w:t> and select </w:t>
      </w:r>
      <w:r w:rsidRPr="004731E8">
        <w:rPr>
          <w:b/>
          <w:bCs/>
        </w:rPr>
        <w:t>Show All</w:t>
      </w:r>
      <w:r w:rsidRPr="004731E8">
        <w:t> to reveal the full list (approx. 49 items).</w:t>
      </w:r>
    </w:p>
    <w:p w14:paraId="54051A77" w14:textId="77777777" w:rsidR="004731E8" w:rsidRPr="004731E8" w:rsidRDefault="004731E8" w:rsidP="004731E8">
      <w:pPr>
        <w:numPr>
          <w:ilvl w:val="0"/>
          <w:numId w:val="4"/>
        </w:numPr>
        <w:tabs>
          <w:tab w:val="num" w:pos="720"/>
        </w:tabs>
      </w:pPr>
      <w:r w:rsidRPr="004731E8">
        <w:t>Each listing provides a description of body systems and therapeutic effects (e.g., cardiovascular, endocrine, mood balance).</w:t>
      </w:r>
    </w:p>
    <w:p w14:paraId="62D53346" w14:textId="2621B6F3" w:rsidR="004731E8" w:rsidRPr="004731E8" w:rsidRDefault="004731E8" w:rsidP="004731E8">
      <w:pPr>
        <w:pStyle w:val="ListParagraph"/>
        <w:numPr>
          <w:ilvl w:val="0"/>
          <w:numId w:val="4"/>
        </w:numPr>
        <w:rPr>
          <w:b/>
          <w:bCs/>
        </w:rPr>
      </w:pPr>
      <w:r w:rsidRPr="004731E8">
        <w:rPr>
          <w:b/>
          <w:bCs/>
        </w:rPr>
        <w:t>Exporting or Saving Peptide Lists</w:t>
      </w:r>
      <w:r>
        <w:rPr>
          <w:b/>
          <w:bCs/>
        </w:rPr>
        <w:t>:</w:t>
      </w:r>
    </w:p>
    <w:p w14:paraId="281D01C9" w14:textId="77777777" w:rsidR="004731E8" w:rsidRPr="004731E8" w:rsidRDefault="004731E8" w:rsidP="004731E8">
      <w:pPr>
        <w:numPr>
          <w:ilvl w:val="0"/>
          <w:numId w:val="5"/>
        </w:numPr>
        <w:tabs>
          <w:tab w:val="num" w:pos="720"/>
        </w:tabs>
      </w:pPr>
      <w:r w:rsidRPr="004731E8">
        <w:t>Click the asterisk icon (*), and deselect all except:</w:t>
      </w:r>
    </w:p>
    <w:p w14:paraId="7BDA516F" w14:textId="77777777" w:rsidR="004731E8" w:rsidRPr="004731E8" w:rsidRDefault="004731E8" w:rsidP="004731E8">
      <w:pPr>
        <w:numPr>
          <w:ilvl w:val="1"/>
          <w:numId w:val="5"/>
        </w:numPr>
        <w:tabs>
          <w:tab w:val="num" w:pos="1440"/>
        </w:tabs>
      </w:pPr>
      <w:r w:rsidRPr="004731E8">
        <w:rPr>
          <w:b/>
          <w:bCs/>
        </w:rPr>
        <w:t>Etalon</w:t>
      </w:r>
    </w:p>
    <w:p w14:paraId="0173123A" w14:textId="77777777" w:rsidR="004731E8" w:rsidRPr="004731E8" w:rsidRDefault="004731E8" w:rsidP="004731E8">
      <w:pPr>
        <w:numPr>
          <w:ilvl w:val="1"/>
          <w:numId w:val="5"/>
        </w:numPr>
        <w:tabs>
          <w:tab w:val="num" w:pos="1440"/>
        </w:tabs>
      </w:pPr>
      <w:r w:rsidRPr="004731E8">
        <w:rPr>
          <w:b/>
          <w:bCs/>
        </w:rPr>
        <w:t>Description</w:t>
      </w:r>
    </w:p>
    <w:p w14:paraId="368EFB23" w14:textId="2EB07CB6" w:rsidR="004731E8" w:rsidRPr="004731E8" w:rsidRDefault="004731E8" w:rsidP="004731E8">
      <w:r w:rsidRPr="004731E8">
        <w:rPr>
          <w:b/>
          <w:bCs/>
        </w:rPr>
        <w:t>IV.</w:t>
      </w:r>
      <w:r>
        <w:t xml:space="preserve"> </w:t>
      </w:r>
      <w:r w:rsidRPr="004731E8">
        <w:t>Export as </w:t>
      </w:r>
      <w:r w:rsidRPr="004731E8">
        <w:rPr>
          <w:b/>
          <w:bCs/>
        </w:rPr>
        <w:t>XLSX Grid</w:t>
      </w:r>
      <w:r w:rsidRPr="004731E8">
        <w:t> (Excel format).</w:t>
      </w:r>
    </w:p>
    <w:p w14:paraId="26452CCF" w14:textId="3959042D" w:rsidR="004731E8" w:rsidRPr="004731E8" w:rsidRDefault="00421CB8" w:rsidP="004731E8">
      <w:pPr>
        <w:numPr>
          <w:ilvl w:val="0"/>
          <w:numId w:val="5"/>
        </w:numPr>
      </w:pPr>
      <w:r>
        <w:t xml:space="preserve">You will need to have </w:t>
      </w:r>
      <w:r w:rsidR="00B836BC">
        <w:t>Microsoft Excel to view the report because definitions will not display on a {DF format.</w:t>
      </w:r>
    </w:p>
    <w:p w14:paraId="3AB8F21B" w14:textId="77777777" w:rsidR="00421CB8" w:rsidRDefault="004731E8" w:rsidP="004731E8">
      <w:pPr>
        <w:rPr>
          <w:b/>
          <w:bCs/>
        </w:rPr>
      </w:pPr>
      <w:r>
        <w:rPr>
          <w:b/>
          <w:bCs/>
        </w:rPr>
        <w:t>V</w:t>
      </w:r>
      <w:r>
        <w:rPr>
          <w:rFonts w:ascii="Tahoma" w:hAnsi="Tahoma" w:cs="Tahoma"/>
          <w:b/>
          <w:bCs/>
        </w:rPr>
        <w:t>.</w:t>
      </w:r>
      <w:r w:rsidRPr="004731E8">
        <w:rPr>
          <w:b/>
          <w:bCs/>
        </w:rPr>
        <w:t xml:space="preserve"> Choosing and Applying Peptides</w:t>
      </w:r>
    </w:p>
    <w:p w14:paraId="26220242" w14:textId="642CD0D8" w:rsidR="004731E8" w:rsidRPr="004731E8" w:rsidRDefault="004731E8" w:rsidP="004731E8">
      <w:pPr>
        <w:rPr>
          <w:b/>
          <w:bCs/>
        </w:rPr>
      </w:pPr>
      <w:r w:rsidRPr="004731E8">
        <w:rPr>
          <w:b/>
          <w:bCs/>
        </w:rPr>
        <w:t>Number of Peptides</w:t>
      </w:r>
    </w:p>
    <w:p w14:paraId="01BD73EC" w14:textId="77777777" w:rsidR="004731E8" w:rsidRPr="004731E8" w:rsidRDefault="004731E8" w:rsidP="004731E8">
      <w:pPr>
        <w:numPr>
          <w:ilvl w:val="0"/>
          <w:numId w:val="6"/>
        </w:numPr>
      </w:pPr>
      <w:r w:rsidRPr="004731E8">
        <w:t>Begin conservatively:</w:t>
      </w:r>
    </w:p>
    <w:p w14:paraId="5C14E552" w14:textId="77777777" w:rsidR="004731E8" w:rsidRPr="004731E8" w:rsidRDefault="004731E8" w:rsidP="004731E8">
      <w:pPr>
        <w:numPr>
          <w:ilvl w:val="1"/>
          <w:numId w:val="6"/>
        </w:numPr>
      </w:pPr>
      <w:r w:rsidRPr="004731E8">
        <w:rPr>
          <w:b/>
          <w:bCs/>
        </w:rPr>
        <w:t>2–4 peptides</w:t>
      </w:r>
      <w:r w:rsidRPr="004731E8">
        <w:t> for beginners.</w:t>
      </w:r>
    </w:p>
    <w:p w14:paraId="28AE6AA9" w14:textId="3D7AEEF7" w:rsidR="004731E8" w:rsidRPr="004731E8" w:rsidRDefault="004731E8" w:rsidP="004731E8">
      <w:pPr>
        <w:numPr>
          <w:ilvl w:val="1"/>
          <w:numId w:val="6"/>
        </w:numPr>
      </w:pPr>
      <w:r w:rsidRPr="004731E8">
        <w:t>Up to </w:t>
      </w:r>
      <w:r w:rsidRPr="004731E8">
        <w:rPr>
          <w:b/>
          <w:bCs/>
        </w:rPr>
        <w:t>5–7 peptides</w:t>
      </w:r>
      <w:r w:rsidRPr="004731E8">
        <w:t> if familiar with the system.</w:t>
      </w:r>
    </w:p>
    <w:p w14:paraId="463EA724" w14:textId="2C4ADAEE" w:rsidR="004731E8" w:rsidRPr="004731E8" w:rsidRDefault="00421CB8" w:rsidP="004731E8">
      <w:pPr>
        <w:rPr>
          <w:b/>
          <w:bCs/>
        </w:rPr>
      </w:pPr>
      <w:r>
        <w:rPr>
          <w:b/>
          <w:bCs/>
        </w:rPr>
        <w:t xml:space="preserve">VI. </w:t>
      </w:r>
      <w:r w:rsidR="004731E8" w:rsidRPr="004731E8">
        <w:rPr>
          <w:b/>
          <w:bCs/>
        </w:rPr>
        <w:t>Manual Selection</w:t>
      </w:r>
    </w:p>
    <w:p w14:paraId="6C9EF06F" w14:textId="51477156" w:rsidR="004731E8" w:rsidRPr="004731E8" w:rsidRDefault="004731E8" w:rsidP="004731E8">
      <w:pPr>
        <w:numPr>
          <w:ilvl w:val="0"/>
          <w:numId w:val="7"/>
        </w:numPr>
      </w:pPr>
      <w:r w:rsidRPr="004731E8">
        <w:t xml:space="preserve">Manual selection is generally more effective than </w:t>
      </w:r>
      <w:proofErr w:type="spellStart"/>
      <w:r w:rsidRPr="004731E8">
        <w:t>AutoModel</w:t>
      </w:r>
      <w:proofErr w:type="spellEnd"/>
      <w:r w:rsidRPr="004731E8">
        <w:t xml:space="preserve"> selection, as Oberon focuses on root causes rather than </w:t>
      </w:r>
      <w:r w:rsidR="00B836BC">
        <w:t>specialty therapies.</w:t>
      </w:r>
    </w:p>
    <w:p w14:paraId="287AC2CB" w14:textId="77777777" w:rsidR="004731E8" w:rsidRPr="004731E8" w:rsidRDefault="004731E8" w:rsidP="004731E8">
      <w:pPr>
        <w:numPr>
          <w:ilvl w:val="0"/>
          <w:numId w:val="7"/>
        </w:numPr>
      </w:pPr>
      <w:r w:rsidRPr="004731E8">
        <w:t>Reference peptide descriptions to match them with client-reported imbalances (e.g., thyroid, vascular, urinary).</w:t>
      </w:r>
    </w:p>
    <w:p w14:paraId="088FB1F4" w14:textId="57108733" w:rsidR="004731E8" w:rsidRPr="004731E8" w:rsidRDefault="00421CB8" w:rsidP="004731E8">
      <w:pPr>
        <w:rPr>
          <w:b/>
          <w:bCs/>
        </w:rPr>
      </w:pPr>
      <w:r>
        <w:rPr>
          <w:b/>
          <w:bCs/>
        </w:rPr>
        <w:t>VII.</w:t>
      </w:r>
      <w:r w:rsidR="004731E8" w:rsidRPr="004731E8">
        <w:rPr>
          <w:b/>
          <w:bCs/>
        </w:rPr>
        <w:t xml:space="preserve"> </w:t>
      </w:r>
      <w:r w:rsidR="00B836BC">
        <w:rPr>
          <w:b/>
          <w:bCs/>
        </w:rPr>
        <w:t>Peptide</w:t>
      </w:r>
      <w:r w:rsidR="004731E8" w:rsidRPr="004731E8">
        <w:rPr>
          <w:b/>
          <w:bCs/>
        </w:rPr>
        <w:t xml:space="preserve"> Topics</w:t>
      </w:r>
    </w:p>
    <w:p w14:paraId="0BAA86B4" w14:textId="5CEB294A" w:rsidR="004731E8" w:rsidRDefault="00B836BC" w:rsidP="004731E8">
      <w:pPr>
        <w:numPr>
          <w:ilvl w:val="0"/>
          <w:numId w:val="8"/>
        </w:numPr>
      </w:pPr>
      <w:r>
        <w:rPr>
          <w:b/>
          <w:bCs/>
        </w:rPr>
        <w:t xml:space="preserve"># J HOMEOPATHY, </w:t>
      </w:r>
      <w:r w:rsidR="004731E8" w:rsidRPr="004731E8">
        <w:rPr>
          <w:b/>
          <w:bCs/>
        </w:rPr>
        <w:t>NNPTS</w:t>
      </w:r>
      <w:r w:rsidR="004731E8" w:rsidRPr="004731E8">
        <w:t>, </w:t>
      </w:r>
      <w:r w:rsidR="004731E8" w:rsidRPr="004731E8">
        <w:rPr>
          <w:b/>
          <w:bCs/>
        </w:rPr>
        <w:t>NNPTSTO</w:t>
      </w:r>
      <w:r w:rsidR="004731E8" w:rsidRPr="004731E8">
        <w:t>, and </w:t>
      </w:r>
      <w:r w:rsidR="004731E8" w:rsidRPr="004731E8">
        <w:rPr>
          <w:b/>
          <w:bCs/>
        </w:rPr>
        <w:t>NNPTSPO</w:t>
      </w:r>
      <w:r w:rsidR="004731E8" w:rsidRPr="004731E8">
        <w:t> categories contain </w:t>
      </w:r>
      <w:r w:rsidR="004731E8" w:rsidRPr="004731E8">
        <w:rPr>
          <w:b/>
          <w:bCs/>
        </w:rPr>
        <w:t>Oligopeptides</w:t>
      </w:r>
      <w:r w:rsidR="004731E8" w:rsidRPr="004731E8">
        <w:t> and related peptides.</w:t>
      </w:r>
    </w:p>
    <w:p w14:paraId="28D8F217" w14:textId="4CE04A29" w:rsidR="00B836BC" w:rsidRPr="004731E8" w:rsidRDefault="00B836BC" w:rsidP="004731E8">
      <w:pPr>
        <w:numPr>
          <w:ilvl w:val="0"/>
          <w:numId w:val="8"/>
        </w:numPr>
      </w:pPr>
      <w:r>
        <w:rPr>
          <w:b/>
          <w:bCs/>
        </w:rPr>
        <w:t xml:space="preserve">ALLOPATHY – </w:t>
      </w:r>
      <w:r>
        <w:t>contains polypeptide, and neuropeptides.</w:t>
      </w:r>
    </w:p>
    <w:p w14:paraId="27FE6F8C" w14:textId="77777777" w:rsidR="004731E8" w:rsidRPr="004731E8" w:rsidRDefault="004731E8" w:rsidP="004731E8">
      <w:pPr>
        <w:numPr>
          <w:ilvl w:val="0"/>
          <w:numId w:val="8"/>
        </w:numPr>
      </w:pPr>
      <w:r w:rsidRPr="004731E8">
        <w:t>Combine these as needed to enhance therapy breadth.</w:t>
      </w:r>
    </w:p>
    <w:p w14:paraId="670A24A0" w14:textId="77777777" w:rsidR="004731E8" w:rsidRPr="004731E8" w:rsidRDefault="004731E8" w:rsidP="004731E8">
      <w:r w:rsidRPr="004731E8">
        <w:pict w14:anchorId="187F178F">
          <v:rect id="_x0000_i1076" style="width:0;height:0" o:hralign="center" o:hrstd="t" o:hr="t" fillcolor="#a0a0a0" stroked="f"/>
        </w:pict>
      </w:r>
    </w:p>
    <w:p w14:paraId="0B2BF501" w14:textId="6F3D676D" w:rsidR="004731E8" w:rsidRPr="004731E8" w:rsidRDefault="00421CB8" w:rsidP="004731E8">
      <w:pPr>
        <w:rPr>
          <w:b/>
          <w:bCs/>
        </w:rPr>
      </w:pPr>
      <w:r>
        <w:rPr>
          <w:b/>
          <w:bCs/>
        </w:rPr>
        <w:t>VIII.</w:t>
      </w:r>
      <w:r w:rsidR="004731E8" w:rsidRPr="004731E8">
        <w:rPr>
          <w:b/>
          <w:bCs/>
        </w:rPr>
        <w:t xml:space="preserve"> Key Areas of Application</w:t>
      </w:r>
    </w:p>
    <w:p w14:paraId="3062E9E7" w14:textId="69FEF116" w:rsidR="004731E8" w:rsidRPr="004731E8" w:rsidRDefault="004731E8" w:rsidP="004731E8">
      <w:pPr>
        <w:rPr>
          <w:b/>
          <w:bCs/>
        </w:rPr>
      </w:pPr>
      <w:r w:rsidRPr="004731E8">
        <w:rPr>
          <w:b/>
          <w:bCs/>
        </w:rPr>
        <w:t>Biological Systems to Prioritize</w:t>
      </w:r>
    </w:p>
    <w:p w14:paraId="5DB401C8" w14:textId="77777777" w:rsidR="004731E8" w:rsidRPr="004731E8" w:rsidRDefault="004731E8" w:rsidP="004731E8">
      <w:pPr>
        <w:numPr>
          <w:ilvl w:val="0"/>
          <w:numId w:val="9"/>
        </w:numPr>
      </w:pPr>
      <w:r w:rsidRPr="004731E8">
        <w:rPr>
          <w:b/>
          <w:bCs/>
        </w:rPr>
        <w:lastRenderedPageBreak/>
        <w:t>Hemoglobin</w:t>
      </w:r>
      <w:r w:rsidRPr="004731E8">
        <w:t> — foundational entry for peptide remedy building.</w:t>
      </w:r>
    </w:p>
    <w:p w14:paraId="5DB53EB4" w14:textId="77777777" w:rsidR="004731E8" w:rsidRPr="004731E8" w:rsidRDefault="004731E8" w:rsidP="004731E8">
      <w:pPr>
        <w:numPr>
          <w:ilvl w:val="0"/>
          <w:numId w:val="9"/>
        </w:numPr>
      </w:pPr>
      <w:r w:rsidRPr="004731E8">
        <w:rPr>
          <w:b/>
          <w:bCs/>
        </w:rPr>
        <w:t>Immunoglobulin</w:t>
      </w:r>
      <w:r w:rsidRPr="004731E8">
        <w:t> — immunity and nutrient transport focus.</w:t>
      </w:r>
    </w:p>
    <w:p w14:paraId="0D33728F" w14:textId="77777777" w:rsidR="004731E8" w:rsidRPr="004731E8" w:rsidRDefault="004731E8" w:rsidP="004731E8">
      <w:pPr>
        <w:numPr>
          <w:ilvl w:val="0"/>
          <w:numId w:val="9"/>
        </w:numPr>
      </w:pPr>
      <w:r w:rsidRPr="004731E8">
        <w:rPr>
          <w:b/>
          <w:bCs/>
        </w:rPr>
        <w:t>Thyroid</w:t>
      </w:r>
      <w:r w:rsidRPr="004731E8">
        <w:t> — via peptide regulators related to endocrine functions.</w:t>
      </w:r>
    </w:p>
    <w:p w14:paraId="09BE9266" w14:textId="6B48C06C" w:rsidR="004731E8" w:rsidRPr="004731E8" w:rsidRDefault="004731E8" w:rsidP="004731E8">
      <w:pPr>
        <w:numPr>
          <w:ilvl w:val="0"/>
          <w:numId w:val="9"/>
        </w:numPr>
      </w:pPr>
      <w:r w:rsidRPr="004731E8">
        <w:rPr>
          <w:b/>
          <w:bCs/>
        </w:rPr>
        <w:t>Vascular Dystonia</w:t>
      </w:r>
      <w:r w:rsidRPr="004731E8">
        <w:t> — often tied to GI inflammation and nerve issues.</w:t>
      </w:r>
    </w:p>
    <w:p w14:paraId="6F02FA3D" w14:textId="0B5A261E" w:rsidR="004731E8" w:rsidRPr="004731E8" w:rsidRDefault="004731E8" w:rsidP="004731E8">
      <w:pPr>
        <w:numPr>
          <w:ilvl w:val="0"/>
          <w:numId w:val="9"/>
        </w:numPr>
      </w:pPr>
      <w:r w:rsidRPr="004731E8">
        <w:rPr>
          <w:b/>
          <w:bCs/>
        </w:rPr>
        <w:t>DNA/Nucleotides (</w:t>
      </w:r>
      <w:proofErr w:type="spellStart"/>
      <w:r w:rsidRPr="004731E8">
        <w:rPr>
          <w:b/>
          <w:bCs/>
        </w:rPr>
        <w:t>Deox</w:t>
      </w:r>
      <w:proofErr w:type="spellEnd"/>
      <w:r w:rsidR="00F93B1A">
        <w:rPr>
          <w:b/>
          <w:bCs/>
        </w:rPr>
        <w:t xml:space="preserve"> items like deox</w:t>
      </w:r>
      <w:r w:rsidRPr="004731E8">
        <w:rPr>
          <w:b/>
          <w:bCs/>
        </w:rPr>
        <w:t>yguanosine, Uracil)</w:t>
      </w:r>
      <w:r w:rsidRPr="004731E8">
        <w:t> — useful for calming, metabolic support, and repair functions.</w:t>
      </w:r>
    </w:p>
    <w:p w14:paraId="6046F649" w14:textId="02150967" w:rsidR="004731E8" w:rsidRPr="004731E8" w:rsidRDefault="00421CB8" w:rsidP="004731E8">
      <w:pPr>
        <w:rPr>
          <w:b/>
          <w:bCs/>
        </w:rPr>
      </w:pPr>
      <w:r>
        <w:rPr>
          <w:b/>
          <w:bCs/>
        </w:rPr>
        <w:t>VIIII.</w:t>
      </w:r>
      <w:r w:rsidR="004731E8" w:rsidRPr="004731E8">
        <w:rPr>
          <w:b/>
          <w:bCs/>
        </w:rPr>
        <w:t xml:space="preserve"> Thematic Support Planning</w:t>
      </w:r>
    </w:p>
    <w:p w14:paraId="1D633FBD" w14:textId="77777777" w:rsidR="004731E8" w:rsidRPr="004731E8" w:rsidRDefault="004731E8" w:rsidP="004731E8">
      <w:r w:rsidRPr="004731E8">
        <w:t>Create remedy plans aligned to:</w:t>
      </w:r>
    </w:p>
    <w:p w14:paraId="0390FAC0" w14:textId="77777777" w:rsidR="004731E8" w:rsidRPr="004731E8" w:rsidRDefault="004731E8" w:rsidP="004731E8">
      <w:pPr>
        <w:numPr>
          <w:ilvl w:val="0"/>
          <w:numId w:val="10"/>
        </w:numPr>
      </w:pPr>
      <w:r w:rsidRPr="004731E8">
        <w:t>Digestive system detox and microbial clearing.</w:t>
      </w:r>
    </w:p>
    <w:p w14:paraId="6BF036FE" w14:textId="77777777" w:rsidR="004731E8" w:rsidRPr="004731E8" w:rsidRDefault="004731E8" w:rsidP="004731E8">
      <w:pPr>
        <w:numPr>
          <w:ilvl w:val="0"/>
          <w:numId w:val="10"/>
        </w:numPr>
      </w:pPr>
      <w:r w:rsidRPr="004731E8">
        <w:t>Thyroid balancing and anti-inflammatory support.</w:t>
      </w:r>
    </w:p>
    <w:p w14:paraId="797AA4A8" w14:textId="77777777" w:rsidR="004731E8" w:rsidRPr="004731E8" w:rsidRDefault="004731E8" w:rsidP="004731E8">
      <w:pPr>
        <w:numPr>
          <w:ilvl w:val="0"/>
          <w:numId w:val="10"/>
        </w:numPr>
      </w:pPr>
      <w:r w:rsidRPr="004731E8">
        <w:t>Nervous system and emotional regulation.</w:t>
      </w:r>
    </w:p>
    <w:p w14:paraId="710BC0EE" w14:textId="77777777" w:rsidR="004731E8" w:rsidRPr="004731E8" w:rsidRDefault="004731E8" w:rsidP="004731E8">
      <w:r w:rsidRPr="004731E8">
        <w:pict w14:anchorId="5EB778E7">
          <v:rect id="_x0000_i1077" style="width:0;height:0" o:hralign="center" o:hrstd="t" o:hr="t" fillcolor="#a0a0a0" stroked="f"/>
        </w:pict>
      </w:r>
    </w:p>
    <w:p w14:paraId="6AF56D0F" w14:textId="7FE9A06F" w:rsidR="004731E8" w:rsidRPr="004731E8" w:rsidRDefault="00421CB8" w:rsidP="004731E8">
      <w:pPr>
        <w:rPr>
          <w:b/>
          <w:bCs/>
        </w:rPr>
      </w:pPr>
      <w:r>
        <w:rPr>
          <w:b/>
          <w:bCs/>
        </w:rPr>
        <w:t>X.</w:t>
      </w:r>
      <w:r w:rsidR="004731E8" w:rsidRPr="004731E8">
        <w:rPr>
          <w:b/>
          <w:bCs/>
        </w:rPr>
        <w:t xml:space="preserve"> Meta and Draw Count Considerations</w:t>
      </w:r>
    </w:p>
    <w:p w14:paraId="6465C95D" w14:textId="53768C31" w:rsidR="004731E8" w:rsidRPr="004731E8" w:rsidRDefault="004731E8" w:rsidP="004731E8">
      <w:pPr>
        <w:rPr>
          <w:b/>
          <w:bCs/>
        </w:rPr>
      </w:pPr>
      <w:r w:rsidRPr="004731E8">
        <w:rPr>
          <w:b/>
          <w:bCs/>
        </w:rPr>
        <w:t>Choosing the Right Intensity</w:t>
      </w:r>
    </w:p>
    <w:p w14:paraId="2FEAEACC" w14:textId="77777777" w:rsidR="004731E8" w:rsidRPr="004731E8" w:rsidRDefault="004731E8" w:rsidP="004731E8">
      <w:pPr>
        <w:numPr>
          <w:ilvl w:val="0"/>
          <w:numId w:val="11"/>
        </w:numPr>
      </w:pPr>
      <w:r w:rsidRPr="004731E8">
        <w:t>Gauge each client’s </w:t>
      </w:r>
      <w:r w:rsidRPr="004731E8">
        <w:rPr>
          <w:b/>
          <w:bCs/>
        </w:rPr>
        <w:t>frequency sensitivity</w:t>
      </w:r>
      <w:r w:rsidRPr="004731E8">
        <w:t>:</w:t>
      </w:r>
    </w:p>
    <w:p w14:paraId="623E712B" w14:textId="77777777" w:rsidR="004731E8" w:rsidRPr="004731E8" w:rsidRDefault="004731E8" w:rsidP="004731E8">
      <w:pPr>
        <w:numPr>
          <w:ilvl w:val="1"/>
          <w:numId w:val="11"/>
        </w:numPr>
      </w:pPr>
      <w:r w:rsidRPr="004731E8">
        <w:t>If clients </w:t>
      </w:r>
      <w:r w:rsidRPr="004731E8">
        <w:rPr>
          <w:b/>
          <w:bCs/>
        </w:rPr>
        <w:t>feel very strong effects</w:t>
      </w:r>
      <w:r w:rsidRPr="004731E8">
        <w:t>, use a </w:t>
      </w:r>
      <w:r w:rsidRPr="004731E8">
        <w:rPr>
          <w:b/>
          <w:bCs/>
        </w:rPr>
        <w:t>lower draw count / virtual model number</w:t>
      </w:r>
      <w:r w:rsidRPr="004731E8">
        <w:t>.</w:t>
      </w:r>
    </w:p>
    <w:p w14:paraId="10886F64" w14:textId="4F2379FA" w:rsidR="004731E8" w:rsidRPr="004731E8" w:rsidRDefault="004731E8" w:rsidP="004731E8">
      <w:pPr>
        <w:numPr>
          <w:ilvl w:val="1"/>
          <w:numId w:val="11"/>
        </w:numPr>
      </w:pPr>
      <w:r w:rsidRPr="004731E8">
        <w:t>If they feel </w:t>
      </w:r>
      <w:r w:rsidRPr="004731E8">
        <w:rPr>
          <w:b/>
          <w:bCs/>
        </w:rPr>
        <w:t>little or no effect</w:t>
      </w:r>
      <w:r w:rsidRPr="004731E8">
        <w:t>, gently increase values.</w:t>
      </w:r>
    </w:p>
    <w:p w14:paraId="5D2610F7" w14:textId="095206DF" w:rsidR="004731E8" w:rsidRPr="004731E8" w:rsidRDefault="004731E8" w:rsidP="004731E8">
      <w:pPr>
        <w:rPr>
          <w:b/>
          <w:bCs/>
        </w:rPr>
      </w:pPr>
      <w:r w:rsidRPr="004731E8">
        <w:rPr>
          <w:b/>
          <w:bCs/>
        </w:rPr>
        <w:t>Meta-by Settings</w:t>
      </w:r>
    </w:p>
    <w:p w14:paraId="1865B211" w14:textId="77777777" w:rsidR="004731E8" w:rsidRPr="004731E8" w:rsidRDefault="004731E8" w:rsidP="004731E8">
      <w:pPr>
        <w:numPr>
          <w:ilvl w:val="0"/>
          <w:numId w:val="12"/>
        </w:numPr>
      </w:pPr>
      <w:r w:rsidRPr="004731E8">
        <w:rPr>
          <w:b/>
          <w:bCs/>
        </w:rPr>
        <w:t>Avoid using Meta by 100</w:t>
      </w:r>
      <w:r w:rsidRPr="004731E8">
        <w:t> on the </w:t>
      </w:r>
      <w:r w:rsidRPr="004731E8">
        <w:rPr>
          <w:b/>
          <w:bCs/>
        </w:rPr>
        <w:t>head or nervous system</w:t>
      </w:r>
      <w:r w:rsidRPr="004731E8">
        <w:t> areas.</w:t>
      </w:r>
    </w:p>
    <w:p w14:paraId="106D03F4" w14:textId="77777777" w:rsidR="004731E8" w:rsidRPr="004731E8" w:rsidRDefault="004731E8" w:rsidP="004731E8">
      <w:pPr>
        <w:numPr>
          <w:ilvl w:val="1"/>
          <w:numId w:val="12"/>
        </w:numPr>
      </w:pPr>
      <w:r w:rsidRPr="004731E8">
        <w:t>Reported side effects: nosebleeds, headaches, dizziness.</w:t>
      </w:r>
    </w:p>
    <w:p w14:paraId="413D6FF2" w14:textId="626CD3CF" w:rsidR="004731E8" w:rsidRPr="004731E8" w:rsidRDefault="004731E8" w:rsidP="004731E8">
      <w:pPr>
        <w:numPr>
          <w:ilvl w:val="0"/>
          <w:numId w:val="12"/>
        </w:numPr>
      </w:pPr>
      <w:r w:rsidRPr="004731E8">
        <w:t>Prefer </w:t>
      </w:r>
      <w:r w:rsidRPr="004731E8">
        <w:rPr>
          <w:b/>
          <w:bCs/>
        </w:rPr>
        <w:t xml:space="preserve">Meta by </w:t>
      </w:r>
      <w:proofErr w:type="gramStart"/>
      <w:r w:rsidRPr="004731E8">
        <w:rPr>
          <w:b/>
          <w:bCs/>
        </w:rPr>
        <w:t>20</w:t>
      </w:r>
      <w:r w:rsidRPr="004731E8">
        <w:t>, and</w:t>
      </w:r>
      <w:proofErr w:type="gramEnd"/>
      <w:r w:rsidRPr="004731E8">
        <w:t xml:space="preserve"> repeat in multiple rounds instead</w:t>
      </w:r>
      <w:r w:rsidR="00F93B1A">
        <w:t>.</w:t>
      </w:r>
    </w:p>
    <w:p w14:paraId="6CFC7B9E" w14:textId="77777777" w:rsidR="004731E8" w:rsidRPr="004731E8" w:rsidRDefault="004731E8" w:rsidP="004731E8">
      <w:r w:rsidRPr="004731E8">
        <w:pict w14:anchorId="3FA61959">
          <v:rect id="_x0000_i1078" style="width:0;height:0" o:hralign="center" o:hrstd="t" o:hr="t" fillcolor="#a0a0a0" stroked="f"/>
        </w:pict>
      </w:r>
    </w:p>
    <w:p w14:paraId="2D1F3B09" w14:textId="1774AD9C" w:rsidR="004731E8" w:rsidRPr="004731E8" w:rsidRDefault="00421CB8" w:rsidP="004731E8">
      <w:pPr>
        <w:rPr>
          <w:b/>
          <w:bCs/>
        </w:rPr>
      </w:pPr>
      <w:r>
        <w:rPr>
          <w:b/>
          <w:bCs/>
        </w:rPr>
        <w:t>XI.</w:t>
      </w:r>
      <w:r w:rsidR="004731E8" w:rsidRPr="004731E8">
        <w:rPr>
          <w:b/>
          <w:bCs/>
        </w:rPr>
        <w:t xml:space="preserve"> Integration into Therapy and Follow-Up</w:t>
      </w:r>
    </w:p>
    <w:p w14:paraId="22288BA2" w14:textId="5771CF5F" w:rsidR="004731E8" w:rsidRPr="004731E8" w:rsidRDefault="004731E8" w:rsidP="004731E8">
      <w:pPr>
        <w:rPr>
          <w:b/>
          <w:bCs/>
        </w:rPr>
      </w:pPr>
      <w:r w:rsidRPr="004731E8">
        <w:rPr>
          <w:b/>
          <w:bCs/>
        </w:rPr>
        <w:t>Timing and Evaluation</w:t>
      </w:r>
    </w:p>
    <w:p w14:paraId="088184A5" w14:textId="77777777" w:rsidR="004731E8" w:rsidRPr="004731E8" w:rsidRDefault="004731E8" w:rsidP="004731E8">
      <w:pPr>
        <w:numPr>
          <w:ilvl w:val="0"/>
          <w:numId w:val="13"/>
        </w:numPr>
      </w:pPr>
      <w:r w:rsidRPr="004731E8">
        <w:t>Continue peptide therapy </w:t>
      </w:r>
      <w:r w:rsidRPr="004731E8">
        <w:rPr>
          <w:b/>
          <w:bCs/>
        </w:rPr>
        <w:t>after the baseline microbial and detox phases</w:t>
      </w:r>
      <w:r w:rsidRPr="004731E8">
        <w:t>.</w:t>
      </w:r>
    </w:p>
    <w:p w14:paraId="6BCA69A8" w14:textId="77777777" w:rsidR="004731E8" w:rsidRPr="004731E8" w:rsidRDefault="004731E8" w:rsidP="004731E8">
      <w:pPr>
        <w:numPr>
          <w:ilvl w:val="0"/>
          <w:numId w:val="13"/>
        </w:numPr>
      </w:pPr>
      <w:r w:rsidRPr="004731E8">
        <w:t>Monitor improvements in </w:t>
      </w:r>
      <w:r w:rsidRPr="004731E8">
        <w:rPr>
          <w:b/>
          <w:bCs/>
        </w:rPr>
        <w:t>dispersion</w:t>
      </w:r>
      <w:r w:rsidRPr="004731E8">
        <w:t>, </w:t>
      </w:r>
      <w:r w:rsidRPr="004731E8">
        <w:rPr>
          <w:b/>
          <w:bCs/>
        </w:rPr>
        <w:t>symptoms</w:t>
      </w:r>
      <w:r w:rsidRPr="004731E8">
        <w:t>, and </w:t>
      </w:r>
      <w:r w:rsidRPr="004731E8">
        <w:rPr>
          <w:b/>
          <w:bCs/>
        </w:rPr>
        <w:t>card index levels</w:t>
      </w:r>
      <w:r w:rsidRPr="004731E8">
        <w:t> after each meta round.</w:t>
      </w:r>
    </w:p>
    <w:p w14:paraId="4F444951" w14:textId="719D4DCD" w:rsidR="004731E8" w:rsidRPr="004731E8" w:rsidRDefault="004731E8" w:rsidP="004731E8">
      <w:pPr>
        <w:rPr>
          <w:b/>
          <w:bCs/>
        </w:rPr>
      </w:pPr>
      <w:r w:rsidRPr="004731E8">
        <w:rPr>
          <w:b/>
          <w:bCs/>
        </w:rPr>
        <w:t>Enhancing Effectiveness</w:t>
      </w:r>
    </w:p>
    <w:p w14:paraId="09BD88DD" w14:textId="77777777" w:rsidR="004731E8" w:rsidRPr="004731E8" w:rsidRDefault="004731E8" w:rsidP="004731E8">
      <w:pPr>
        <w:numPr>
          <w:ilvl w:val="0"/>
          <w:numId w:val="14"/>
        </w:numPr>
      </w:pPr>
      <w:r w:rsidRPr="004731E8">
        <w:t>Combine with:</w:t>
      </w:r>
    </w:p>
    <w:p w14:paraId="473830FF" w14:textId="77777777" w:rsidR="004731E8" w:rsidRPr="004731E8" w:rsidRDefault="004731E8" w:rsidP="004731E8">
      <w:pPr>
        <w:numPr>
          <w:ilvl w:val="1"/>
          <w:numId w:val="14"/>
        </w:numPr>
      </w:pPr>
      <w:r w:rsidRPr="004731E8">
        <w:rPr>
          <w:b/>
          <w:bCs/>
        </w:rPr>
        <w:t>Dietary adjustments</w:t>
      </w:r>
      <w:r w:rsidRPr="004731E8">
        <w:t> (removing allergens and inflammatory foods).</w:t>
      </w:r>
    </w:p>
    <w:p w14:paraId="51BC6EA4" w14:textId="77777777" w:rsidR="004731E8" w:rsidRPr="004731E8" w:rsidRDefault="004731E8" w:rsidP="004731E8">
      <w:pPr>
        <w:numPr>
          <w:ilvl w:val="1"/>
          <w:numId w:val="14"/>
        </w:numPr>
      </w:pPr>
      <w:r w:rsidRPr="004731E8">
        <w:rPr>
          <w:b/>
          <w:bCs/>
        </w:rPr>
        <w:lastRenderedPageBreak/>
        <w:t>Lymphatic and detox flush protocols</w:t>
      </w:r>
      <w:r w:rsidRPr="004731E8">
        <w:t>.</w:t>
      </w:r>
    </w:p>
    <w:p w14:paraId="44ED78C6" w14:textId="5588F795" w:rsidR="004731E8" w:rsidRPr="004731E8" w:rsidRDefault="004731E8" w:rsidP="004731E8">
      <w:pPr>
        <w:numPr>
          <w:ilvl w:val="1"/>
          <w:numId w:val="14"/>
        </w:numPr>
      </w:pPr>
      <w:r w:rsidRPr="004731E8">
        <w:rPr>
          <w:b/>
          <w:bCs/>
        </w:rPr>
        <w:t>Parasite and mold clearing protocols</w:t>
      </w:r>
      <w:r w:rsidRPr="004731E8">
        <w:t>.</w:t>
      </w:r>
    </w:p>
    <w:p w14:paraId="653F0CAF" w14:textId="7E54737A" w:rsidR="004731E8" w:rsidRPr="004731E8" w:rsidRDefault="004731E8" w:rsidP="004731E8">
      <w:pPr>
        <w:rPr>
          <w:b/>
          <w:bCs/>
        </w:rPr>
      </w:pPr>
      <w:r w:rsidRPr="004731E8">
        <w:rPr>
          <w:b/>
          <w:bCs/>
        </w:rPr>
        <w:t>Exporting Study Material</w:t>
      </w:r>
    </w:p>
    <w:p w14:paraId="3ED67DBA" w14:textId="77777777" w:rsidR="004731E8" w:rsidRPr="004731E8" w:rsidRDefault="004731E8" w:rsidP="004731E8">
      <w:pPr>
        <w:numPr>
          <w:ilvl w:val="0"/>
          <w:numId w:val="15"/>
        </w:numPr>
      </w:pPr>
      <w:r w:rsidRPr="004731E8">
        <w:t>To build personal study documents:</w:t>
      </w:r>
    </w:p>
    <w:p w14:paraId="45A20E7A" w14:textId="2AECF8EC" w:rsidR="004731E8" w:rsidRPr="004731E8" w:rsidRDefault="004731E8" w:rsidP="004731E8">
      <w:pPr>
        <w:numPr>
          <w:ilvl w:val="1"/>
          <w:numId w:val="15"/>
        </w:numPr>
      </w:pPr>
      <w:r w:rsidRPr="004731E8">
        <w:t xml:space="preserve">Use topics </w:t>
      </w:r>
      <w:r w:rsidR="00F93B1A">
        <w:t xml:space="preserve">with descriptions </w:t>
      </w:r>
      <w:r w:rsidRPr="004731E8">
        <w:t xml:space="preserve">(such as </w:t>
      </w:r>
      <w:r w:rsidR="00F93B1A">
        <w:t>Phytotherapy</w:t>
      </w:r>
      <w:r w:rsidRPr="004731E8">
        <w:t xml:space="preserve">, </w:t>
      </w:r>
      <w:r w:rsidR="00F93B1A">
        <w:t xml:space="preserve">J# </w:t>
      </w:r>
      <w:r w:rsidRPr="004731E8">
        <w:t>Homeopathy, Chinese Medicine).</w:t>
      </w:r>
    </w:p>
    <w:p w14:paraId="75124A37" w14:textId="5875B459" w:rsidR="004731E8" w:rsidRPr="004731E8" w:rsidRDefault="004731E8" w:rsidP="004731E8">
      <w:pPr>
        <w:numPr>
          <w:ilvl w:val="1"/>
          <w:numId w:val="15"/>
        </w:numPr>
      </w:pPr>
      <w:r w:rsidRPr="004731E8">
        <w:t>Export Etalon and Description data for independent study.</w:t>
      </w:r>
    </w:p>
    <w:p w14:paraId="59B60F66" w14:textId="77777777" w:rsidR="004731E8" w:rsidRPr="004731E8" w:rsidRDefault="004731E8" w:rsidP="004731E8">
      <w:r w:rsidRPr="004731E8">
        <w:pict w14:anchorId="62274698">
          <v:rect id="_x0000_i1079" style="width:0;height:0" o:hralign="center" o:hrstd="t" o:hr="t" fillcolor="#a0a0a0" stroked="f"/>
        </w:pict>
      </w:r>
    </w:p>
    <w:p w14:paraId="387999CA" w14:textId="692D21E6" w:rsidR="004731E8" w:rsidRPr="004731E8" w:rsidRDefault="00421CB8" w:rsidP="004731E8">
      <w:pPr>
        <w:rPr>
          <w:b/>
          <w:bCs/>
        </w:rPr>
      </w:pPr>
      <w:r w:rsidRPr="00421CB8">
        <w:rPr>
          <w:rFonts w:cstheme="minorHAnsi"/>
          <w:b/>
          <w:bCs/>
        </w:rPr>
        <w:t>XII</w:t>
      </w:r>
      <w:r w:rsidR="004731E8" w:rsidRPr="00421CB8">
        <w:rPr>
          <w:rFonts w:cstheme="minorHAnsi"/>
          <w:b/>
          <w:bCs/>
        </w:rPr>
        <w:t>.</w:t>
      </w:r>
      <w:r w:rsidR="004731E8" w:rsidRPr="004731E8">
        <w:rPr>
          <w:b/>
          <w:bCs/>
        </w:rPr>
        <w:t xml:space="preserve"> Summary of Key Recommendations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48"/>
        <w:gridCol w:w="3321"/>
        <w:gridCol w:w="4451"/>
      </w:tblGrid>
      <w:tr w:rsidR="004731E8" w:rsidRPr="004731E8" w14:paraId="26B290D8" w14:textId="77777777" w:rsidTr="004731E8">
        <w:trPr>
          <w:tblHeader/>
        </w:trPr>
        <w:tc>
          <w:tcPr>
            <w:tcW w:w="0" w:type="auto"/>
            <w:shd w:val="clear" w:color="auto" w:fill="F9FAFB"/>
            <w:vAlign w:val="bottom"/>
            <w:hideMark/>
          </w:tcPr>
          <w:p w14:paraId="2C0DBD24" w14:textId="77777777" w:rsidR="004731E8" w:rsidRPr="004731E8" w:rsidRDefault="004731E8" w:rsidP="004731E8">
            <w:pPr>
              <w:pStyle w:val="NoSpacing"/>
            </w:pPr>
            <w:r w:rsidRPr="004731E8">
              <w:t>Focus Area</w:t>
            </w:r>
          </w:p>
        </w:tc>
        <w:tc>
          <w:tcPr>
            <w:tcW w:w="0" w:type="auto"/>
            <w:shd w:val="clear" w:color="auto" w:fill="F9FAFB"/>
            <w:vAlign w:val="bottom"/>
            <w:hideMark/>
          </w:tcPr>
          <w:p w14:paraId="261DD0FE" w14:textId="77777777" w:rsidR="004731E8" w:rsidRPr="004731E8" w:rsidRDefault="004731E8" w:rsidP="004731E8">
            <w:pPr>
              <w:pStyle w:val="NoSpacing"/>
            </w:pPr>
            <w:r w:rsidRPr="004731E8">
              <w:t>Action Step</w:t>
            </w:r>
          </w:p>
        </w:tc>
        <w:tc>
          <w:tcPr>
            <w:tcW w:w="0" w:type="auto"/>
            <w:shd w:val="clear" w:color="auto" w:fill="FFFFFF"/>
            <w:vAlign w:val="bottom"/>
            <w:hideMark/>
          </w:tcPr>
          <w:p w14:paraId="60E75B9D" w14:textId="77777777" w:rsidR="004731E8" w:rsidRPr="004731E8" w:rsidRDefault="004731E8" w:rsidP="004731E8">
            <w:pPr>
              <w:pStyle w:val="NoSpacing"/>
            </w:pPr>
            <w:r w:rsidRPr="004731E8">
              <w:t>Key Notes</w:t>
            </w:r>
          </w:p>
        </w:tc>
      </w:tr>
      <w:tr w:rsidR="004731E8" w:rsidRPr="004731E8" w14:paraId="5376EEEE" w14:textId="77777777" w:rsidTr="004731E8">
        <w:tc>
          <w:tcPr>
            <w:tcW w:w="0" w:type="auto"/>
            <w:noWrap/>
            <w:tcMar>
              <w:top w:w="137" w:type="dxa"/>
              <w:left w:w="137" w:type="dxa"/>
              <w:bottom w:w="137" w:type="dxa"/>
              <w:right w:w="137" w:type="dxa"/>
            </w:tcMar>
            <w:vAlign w:val="bottom"/>
            <w:hideMark/>
          </w:tcPr>
          <w:p w14:paraId="2B6B7D25" w14:textId="77777777" w:rsidR="004731E8" w:rsidRPr="004731E8" w:rsidRDefault="004731E8" w:rsidP="004731E8">
            <w:pPr>
              <w:pStyle w:val="NoSpacing"/>
            </w:pPr>
            <w:r w:rsidRPr="004731E8">
              <w:t>Readiness</w:t>
            </w:r>
          </w:p>
        </w:tc>
        <w:tc>
          <w:tcPr>
            <w:tcW w:w="0" w:type="auto"/>
            <w:noWrap/>
            <w:tcMar>
              <w:top w:w="137" w:type="dxa"/>
              <w:left w:w="137" w:type="dxa"/>
              <w:bottom w:w="137" w:type="dxa"/>
              <w:right w:w="137" w:type="dxa"/>
            </w:tcMar>
            <w:vAlign w:val="bottom"/>
            <w:hideMark/>
          </w:tcPr>
          <w:p w14:paraId="55ACC3A4" w14:textId="77777777" w:rsidR="004731E8" w:rsidRPr="004731E8" w:rsidRDefault="004731E8" w:rsidP="004731E8">
            <w:pPr>
              <w:pStyle w:val="NoSpacing"/>
            </w:pPr>
            <w:r w:rsidRPr="004731E8">
              <w:t>4-week pre-clearing phase</w:t>
            </w:r>
          </w:p>
        </w:tc>
        <w:tc>
          <w:tcPr>
            <w:tcW w:w="0" w:type="auto"/>
            <w:noWrap/>
            <w:tcMar>
              <w:top w:w="137" w:type="dxa"/>
              <w:left w:w="137" w:type="dxa"/>
              <w:bottom w:w="137" w:type="dxa"/>
              <w:right w:w="137" w:type="dxa"/>
            </w:tcMar>
            <w:vAlign w:val="bottom"/>
            <w:hideMark/>
          </w:tcPr>
          <w:p w14:paraId="5FDA4431" w14:textId="77777777" w:rsidR="004731E8" w:rsidRPr="004731E8" w:rsidRDefault="004731E8" w:rsidP="004731E8">
            <w:pPr>
              <w:pStyle w:val="NoSpacing"/>
            </w:pPr>
            <w:r w:rsidRPr="004731E8">
              <w:t>Address microbes and detox first</w:t>
            </w:r>
          </w:p>
        </w:tc>
      </w:tr>
      <w:tr w:rsidR="004731E8" w:rsidRPr="004731E8" w14:paraId="37331758" w14:textId="77777777" w:rsidTr="004731E8">
        <w:tc>
          <w:tcPr>
            <w:tcW w:w="0" w:type="auto"/>
            <w:noWrap/>
            <w:tcMar>
              <w:top w:w="137" w:type="dxa"/>
              <w:left w:w="137" w:type="dxa"/>
              <w:bottom w:w="137" w:type="dxa"/>
              <w:right w:w="137" w:type="dxa"/>
            </w:tcMar>
            <w:vAlign w:val="bottom"/>
            <w:hideMark/>
          </w:tcPr>
          <w:p w14:paraId="14B90637" w14:textId="676E26C7" w:rsidR="004731E8" w:rsidRPr="004731E8" w:rsidRDefault="004731E8" w:rsidP="004731E8">
            <w:pPr>
              <w:pStyle w:val="NoSpacing"/>
            </w:pPr>
            <w:r w:rsidRPr="004731E8">
              <w:t xml:space="preserve">Main </w:t>
            </w:r>
            <w:r w:rsidR="00170CE6">
              <w:t xml:space="preserve">Organs </w:t>
            </w:r>
          </w:p>
        </w:tc>
        <w:tc>
          <w:tcPr>
            <w:tcW w:w="0" w:type="auto"/>
            <w:noWrap/>
            <w:tcMar>
              <w:top w:w="137" w:type="dxa"/>
              <w:left w:w="137" w:type="dxa"/>
              <w:bottom w:w="137" w:type="dxa"/>
              <w:right w:w="137" w:type="dxa"/>
            </w:tcMar>
            <w:vAlign w:val="bottom"/>
            <w:hideMark/>
          </w:tcPr>
          <w:p w14:paraId="19303916" w14:textId="77777777" w:rsidR="004731E8" w:rsidRPr="004731E8" w:rsidRDefault="004731E8" w:rsidP="004731E8">
            <w:pPr>
              <w:pStyle w:val="NoSpacing"/>
            </w:pPr>
            <w:r w:rsidRPr="004731E8">
              <w:t>Hemoglobin, Immunoglobulin</w:t>
            </w:r>
          </w:p>
        </w:tc>
        <w:tc>
          <w:tcPr>
            <w:tcW w:w="0" w:type="auto"/>
            <w:noWrap/>
            <w:tcMar>
              <w:top w:w="137" w:type="dxa"/>
              <w:left w:w="137" w:type="dxa"/>
              <w:bottom w:w="137" w:type="dxa"/>
              <w:right w:w="137" w:type="dxa"/>
            </w:tcMar>
            <w:vAlign w:val="bottom"/>
            <w:hideMark/>
          </w:tcPr>
          <w:p w14:paraId="6A0AB0F2" w14:textId="77777777" w:rsidR="004731E8" w:rsidRPr="004731E8" w:rsidRDefault="004731E8" w:rsidP="004731E8">
            <w:pPr>
              <w:pStyle w:val="NoSpacing"/>
            </w:pPr>
            <w:r w:rsidRPr="004731E8">
              <w:t>Starting points for peptide exploration</w:t>
            </w:r>
          </w:p>
        </w:tc>
      </w:tr>
      <w:tr w:rsidR="004731E8" w:rsidRPr="004731E8" w14:paraId="3C96DF7F" w14:textId="77777777" w:rsidTr="004731E8">
        <w:tc>
          <w:tcPr>
            <w:tcW w:w="0" w:type="auto"/>
            <w:noWrap/>
            <w:tcMar>
              <w:top w:w="137" w:type="dxa"/>
              <w:left w:w="137" w:type="dxa"/>
              <w:bottom w:w="137" w:type="dxa"/>
              <w:right w:w="137" w:type="dxa"/>
            </w:tcMar>
            <w:vAlign w:val="bottom"/>
            <w:hideMark/>
          </w:tcPr>
          <w:p w14:paraId="3E13663B" w14:textId="77777777" w:rsidR="004731E8" w:rsidRPr="004731E8" w:rsidRDefault="004731E8" w:rsidP="004731E8">
            <w:pPr>
              <w:pStyle w:val="NoSpacing"/>
            </w:pPr>
            <w:r w:rsidRPr="004731E8">
              <w:t>Approach</w:t>
            </w:r>
          </w:p>
        </w:tc>
        <w:tc>
          <w:tcPr>
            <w:tcW w:w="0" w:type="auto"/>
            <w:noWrap/>
            <w:tcMar>
              <w:top w:w="137" w:type="dxa"/>
              <w:left w:w="137" w:type="dxa"/>
              <w:bottom w:w="137" w:type="dxa"/>
              <w:right w:w="137" w:type="dxa"/>
            </w:tcMar>
            <w:vAlign w:val="bottom"/>
            <w:hideMark/>
          </w:tcPr>
          <w:p w14:paraId="0945C86B" w14:textId="70EB9B98" w:rsidR="004731E8" w:rsidRPr="004731E8" w:rsidRDefault="004731E8" w:rsidP="004731E8">
            <w:pPr>
              <w:pStyle w:val="NoSpacing"/>
            </w:pPr>
            <w:r w:rsidRPr="004731E8">
              <w:t>Manual selection</w:t>
            </w:r>
            <w:r w:rsidR="00170CE6">
              <w:t xml:space="preserve"> vs, Auto Model</w:t>
            </w:r>
          </w:p>
        </w:tc>
        <w:tc>
          <w:tcPr>
            <w:tcW w:w="0" w:type="auto"/>
            <w:noWrap/>
            <w:tcMar>
              <w:top w:w="137" w:type="dxa"/>
              <w:left w:w="137" w:type="dxa"/>
              <w:bottom w:w="137" w:type="dxa"/>
              <w:right w:w="137" w:type="dxa"/>
            </w:tcMar>
            <w:vAlign w:val="bottom"/>
            <w:hideMark/>
          </w:tcPr>
          <w:p w14:paraId="55266253" w14:textId="77777777" w:rsidR="004731E8" w:rsidRPr="004731E8" w:rsidRDefault="004731E8" w:rsidP="004731E8">
            <w:pPr>
              <w:pStyle w:val="NoSpacing"/>
            </w:pPr>
            <w:r w:rsidRPr="004731E8">
              <w:t>Choose 3–5 most relevant peptides</w:t>
            </w:r>
          </w:p>
        </w:tc>
      </w:tr>
      <w:tr w:rsidR="004731E8" w:rsidRPr="004731E8" w14:paraId="0E4D3FEC" w14:textId="77777777" w:rsidTr="004731E8">
        <w:tc>
          <w:tcPr>
            <w:tcW w:w="0" w:type="auto"/>
            <w:noWrap/>
            <w:tcMar>
              <w:top w:w="137" w:type="dxa"/>
              <w:left w:w="137" w:type="dxa"/>
              <w:bottom w:w="137" w:type="dxa"/>
              <w:right w:w="137" w:type="dxa"/>
            </w:tcMar>
            <w:vAlign w:val="bottom"/>
            <w:hideMark/>
          </w:tcPr>
          <w:p w14:paraId="0308E0B5" w14:textId="77777777" w:rsidR="004731E8" w:rsidRPr="004731E8" w:rsidRDefault="004731E8" w:rsidP="004731E8">
            <w:pPr>
              <w:pStyle w:val="NoSpacing"/>
            </w:pPr>
            <w:r w:rsidRPr="004731E8">
              <w:t>Export</w:t>
            </w:r>
          </w:p>
        </w:tc>
        <w:tc>
          <w:tcPr>
            <w:tcW w:w="0" w:type="auto"/>
            <w:noWrap/>
            <w:tcMar>
              <w:top w:w="137" w:type="dxa"/>
              <w:left w:w="137" w:type="dxa"/>
              <w:bottom w:w="137" w:type="dxa"/>
              <w:right w:w="137" w:type="dxa"/>
            </w:tcMar>
            <w:vAlign w:val="bottom"/>
            <w:hideMark/>
          </w:tcPr>
          <w:p w14:paraId="06A143DE" w14:textId="77777777" w:rsidR="004731E8" w:rsidRPr="004731E8" w:rsidRDefault="004731E8" w:rsidP="004731E8">
            <w:pPr>
              <w:pStyle w:val="NoSpacing"/>
            </w:pPr>
            <w:r w:rsidRPr="004731E8">
              <w:t>Using Excel (XLSX Grid)</w:t>
            </w:r>
          </w:p>
        </w:tc>
        <w:tc>
          <w:tcPr>
            <w:tcW w:w="0" w:type="auto"/>
            <w:noWrap/>
            <w:tcMar>
              <w:top w:w="137" w:type="dxa"/>
              <w:left w:w="137" w:type="dxa"/>
              <w:bottom w:w="137" w:type="dxa"/>
              <w:right w:w="137" w:type="dxa"/>
            </w:tcMar>
            <w:vAlign w:val="bottom"/>
            <w:hideMark/>
          </w:tcPr>
          <w:p w14:paraId="73B55365" w14:textId="77777777" w:rsidR="004731E8" w:rsidRPr="004731E8" w:rsidRDefault="004731E8" w:rsidP="004731E8">
            <w:pPr>
              <w:pStyle w:val="NoSpacing"/>
            </w:pPr>
            <w:r w:rsidRPr="004731E8">
              <w:t>For custom peptide reference sheet</w:t>
            </w:r>
          </w:p>
        </w:tc>
      </w:tr>
      <w:tr w:rsidR="004731E8" w:rsidRPr="004731E8" w14:paraId="5040C8FC" w14:textId="77777777" w:rsidTr="004731E8">
        <w:tc>
          <w:tcPr>
            <w:tcW w:w="0" w:type="auto"/>
            <w:noWrap/>
            <w:tcMar>
              <w:top w:w="137" w:type="dxa"/>
              <w:left w:w="137" w:type="dxa"/>
              <w:bottom w:w="137" w:type="dxa"/>
              <w:right w:w="137" w:type="dxa"/>
            </w:tcMar>
            <w:vAlign w:val="bottom"/>
            <w:hideMark/>
          </w:tcPr>
          <w:p w14:paraId="4499FD34" w14:textId="77777777" w:rsidR="004731E8" w:rsidRPr="004731E8" w:rsidRDefault="004731E8" w:rsidP="004731E8">
            <w:pPr>
              <w:pStyle w:val="NoSpacing"/>
            </w:pPr>
            <w:r w:rsidRPr="004731E8">
              <w:t>Draw Count</w:t>
            </w:r>
          </w:p>
        </w:tc>
        <w:tc>
          <w:tcPr>
            <w:tcW w:w="0" w:type="auto"/>
            <w:noWrap/>
            <w:tcMar>
              <w:top w:w="137" w:type="dxa"/>
              <w:left w:w="137" w:type="dxa"/>
              <w:bottom w:w="137" w:type="dxa"/>
              <w:right w:w="137" w:type="dxa"/>
            </w:tcMar>
            <w:vAlign w:val="bottom"/>
            <w:hideMark/>
          </w:tcPr>
          <w:p w14:paraId="62937DC5" w14:textId="77777777" w:rsidR="004731E8" w:rsidRPr="004731E8" w:rsidRDefault="004731E8" w:rsidP="004731E8">
            <w:pPr>
              <w:pStyle w:val="NoSpacing"/>
            </w:pPr>
            <w:r w:rsidRPr="004731E8">
              <w:t>Start conservatively</w:t>
            </w:r>
          </w:p>
        </w:tc>
        <w:tc>
          <w:tcPr>
            <w:tcW w:w="0" w:type="auto"/>
            <w:noWrap/>
            <w:tcMar>
              <w:top w:w="137" w:type="dxa"/>
              <w:left w:w="137" w:type="dxa"/>
              <w:bottom w:w="137" w:type="dxa"/>
              <w:right w:w="137" w:type="dxa"/>
            </w:tcMar>
            <w:vAlign w:val="bottom"/>
            <w:hideMark/>
          </w:tcPr>
          <w:p w14:paraId="4F4CCC27" w14:textId="77777777" w:rsidR="004731E8" w:rsidRPr="004731E8" w:rsidRDefault="004731E8" w:rsidP="004731E8">
            <w:pPr>
              <w:pStyle w:val="NoSpacing"/>
            </w:pPr>
            <w:r w:rsidRPr="004731E8">
              <w:t>Adjust based on sensitivity</w:t>
            </w:r>
          </w:p>
        </w:tc>
      </w:tr>
      <w:tr w:rsidR="004731E8" w:rsidRPr="004731E8" w14:paraId="6D46EE9B" w14:textId="77777777" w:rsidTr="004731E8">
        <w:tc>
          <w:tcPr>
            <w:tcW w:w="0" w:type="auto"/>
            <w:noWrap/>
            <w:tcMar>
              <w:top w:w="137" w:type="dxa"/>
              <w:left w:w="137" w:type="dxa"/>
              <w:bottom w:w="137" w:type="dxa"/>
              <w:right w:w="137" w:type="dxa"/>
            </w:tcMar>
            <w:vAlign w:val="bottom"/>
            <w:hideMark/>
          </w:tcPr>
          <w:p w14:paraId="606B5D10" w14:textId="77777777" w:rsidR="004731E8" w:rsidRPr="004731E8" w:rsidRDefault="004731E8" w:rsidP="004731E8">
            <w:pPr>
              <w:pStyle w:val="NoSpacing"/>
            </w:pPr>
            <w:r w:rsidRPr="004731E8">
              <w:t>Safety</w:t>
            </w:r>
          </w:p>
        </w:tc>
        <w:tc>
          <w:tcPr>
            <w:tcW w:w="0" w:type="auto"/>
            <w:noWrap/>
            <w:tcMar>
              <w:top w:w="137" w:type="dxa"/>
              <w:left w:w="137" w:type="dxa"/>
              <w:bottom w:w="137" w:type="dxa"/>
              <w:right w:w="137" w:type="dxa"/>
            </w:tcMar>
            <w:vAlign w:val="bottom"/>
            <w:hideMark/>
          </w:tcPr>
          <w:p w14:paraId="11DE0FC6" w14:textId="77777777" w:rsidR="004731E8" w:rsidRPr="004731E8" w:rsidRDefault="004731E8" w:rsidP="004731E8">
            <w:pPr>
              <w:pStyle w:val="NoSpacing"/>
            </w:pPr>
            <w:r w:rsidRPr="004731E8">
              <w:t>Avoid Meta by 100 on head</w:t>
            </w:r>
          </w:p>
        </w:tc>
        <w:tc>
          <w:tcPr>
            <w:tcW w:w="0" w:type="auto"/>
            <w:noWrap/>
            <w:tcMar>
              <w:top w:w="137" w:type="dxa"/>
              <w:left w:w="137" w:type="dxa"/>
              <w:bottom w:w="137" w:type="dxa"/>
              <w:right w:w="137" w:type="dxa"/>
            </w:tcMar>
            <w:vAlign w:val="bottom"/>
            <w:hideMark/>
          </w:tcPr>
          <w:p w14:paraId="0F0FD40F" w14:textId="77777777" w:rsidR="004731E8" w:rsidRPr="004731E8" w:rsidRDefault="004731E8" w:rsidP="004731E8">
            <w:pPr>
              <w:pStyle w:val="NoSpacing"/>
            </w:pPr>
            <w:r w:rsidRPr="004731E8">
              <w:t>Use Meta by 20 for most applications</w:t>
            </w:r>
          </w:p>
        </w:tc>
      </w:tr>
      <w:tr w:rsidR="004731E8" w:rsidRPr="004731E8" w14:paraId="7F46491D" w14:textId="77777777" w:rsidTr="004731E8">
        <w:tc>
          <w:tcPr>
            <w:tcW w:w="0" w:type="auto"/>
            <w:noWrap/>
            <w:tcMar>
              <w:top w:w="137" w:type="dxa"/>
              <w:left w:w="137" w:type="dxa"/>
              <w:bottom w:w="137" w:type="dxa"/>
              <w:right w:w="137" w:type="dxa"/>
            </w:tcMar>
            <w:vAlign w:val="bottom"/>
            <w:hideMark/>
          </w:tcPr>
          <w:p w14:paraId="553CA220" w14:textId="77777777" w:rsidR="004731E8" w:rsidRPr="004731E8" w:rsidRDefault="004731E8" w:rsidP="004731E8">
            <w:pPr>
              <w:pStyle w:val="NoSpacing"/>
            </w:pPr>
            <w:r w:rsidRPr="004731E8">
              <w:t>System Alignment</w:t>
            </w:r>
          </w:p>
        </w:tc>
        <w:tc>
          <w:tcPr>
            <w:tcW w:w="0" w:type="auto"/>
            <w:noWrap/>
            <w:tcMar>
              <w:top w:w="137" w:type="dxa"/>
              <w:left w:w="137" w:type="dxa"/>
              <w:bottom w:w="137" w:type="dxa"/>
              <w:right w:w="137" w:type="dxa"/>
            </w:tcMar>
            <w:vAlign w:val="bottom"/>
            <w:hideMark/>
          </w:tcPr>
          <w:p w14:paraId="12247C2C" w14:textId="77777777" w:rsidR="004731E8" w:rsidRPr="004731E8" w:rsidRDefault="004731E8" w:rsidP="004731E8">
            <w:pPr>
              <w:pStyle w:val="NoSpacing"/>
            </w:pPr>
            <w:r w:rsidRPr="004731E8">
              <w:t>Focus on Thyroid, GI, Vascular</w:t>
            </w:r>
          </w:p>
        </w:tc>
        <w:tc>
          <w:tcPr>
            <w:tcW w:w="0" w:type="auto"/>
            <w:noWrap/>
            <w:tcMar>
              <w:top w:w="137" w:type="dxa"/>
              <w:left w:w="137" w:type="dxa"/>
              <w:bottom w:w="137" w:type="dxa"/>
              <w:right w:w="137" w:type="dxa"/>
            </w:tcMar>
            <w:vAlign w:val="bottom"/>
            <w:hideMark/>
          </w:tcPr>
          <w:p w14:paraId="1CBC4F98" w14:textId="77777777" w:rsidR="004731E8" w:rsidRPr="004731E8" w:rsidRDefault="004731E8" w:rsidP="004731E8">
            <w:pPr>
              <w:pStyle w:val="NoSpacing"/>
            </w:pPr>
            <w:r w:rsidRPr="004731E8">
              <w:t>Match peptide remedies to client imbalances</w:t>
            </w:r>
          </w:p>
        </w:tc>
      </w:tr>
    </w:tbl>
    <w:p w14:paraId="466FE801" w14:textId="77777777" w:rsidR="004731E8" w:rsidRPr="004731E8" w:rsidRDefault="004731E8" w:rsidP="004731E8">
      <w:r w:rsidRPr="004731E8">
        <w:pict w14:anchorId="17CC1834">
          <v:rect id="_x0000_i1080" style="width:0;height:0" o:hralign="center" o:hrstd="t" o:hr="t" fillcolor="#a0a0a0" stroked="f"/>
        </w:pict>
      </w:r>
    </w:p>
    <w:p w14:paraId="614E20C6" w14:textId="77777777" w:rsidR="004731E8" w:rsidRDefault="004731E8"/>
    <w:sectPr w:rsidR="004731E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513E" w14:textId="77777777" w:rsidR="00616586" w:rsidRDefault="00616586" w:rsidP="006428E8">
      <w:pPr>
        <w:spacing w:after="0" w:line="240" w:lineRule="auto"/>
      </w:pPr>
      <w:r>
        <w:separator/>
      </w:r>
    </w:p>
  </w:endnote>
  <w:endnote w:type="continuationSeparator" w:id="0">
    <w:p w14:paraId="267D3FAD" w14:textId="77777777" w:rsidR="00616586" w:rsidRDefault="00616586" w:rsidP="0064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871626"/>
      <w:docPartObj>
        <w:docPartGallery w:val="Page Numbers (Bottom of Page)"/>
        <w:docPartUnique/>
      </w:docPartObj>
    </w:sdtPr>
    <w:sdtEndPr>
      <w:rPr>
        <w:color w:val="7F7F7F" w:themeColor="background1" w:themeShade="7F"/>
        <w:spacing w:val="60"/>
      </w:rPr>
    </w:sdtEndPr>
    <w:sdtContent>
      <w:p w14:paraId="03A586D9" w14:textId="36905A58" w:rsidR="006428E8" w:rsidRDefault="006428E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77D4AE8" w14:textId="77777777" w:rsidR="006428E8" w:rsidRDefault="00642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158A" w14:textId="77777777" w:rsidR="00616586" w:rsidRDefault="00616586" w:rsidP="006428E8">
      <w:pPr>
        <w:spacing w:after="0" w:line="240" w:lineRule="auto"/>
      </w:pPr>
      <w:r>
        <w:separator/>
      </w:r>
    </w:p>
  </w:footnote>
  <w:footnote w:type="continuationSeparator" w:id="0">
    <w:p w14:paraId="218AFE0C" w14:textId="77777777" w:rsidR="00616586" w:rsidRDefault="00616586" w:rsidP="00642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E0BB" w14:textId="76C5E114" w:rsidR="006428E8" w:rsidRDefault="006428E8">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A41"/>
    <w:multiLevelType w:val="multilevel"/>
    <w:tmpl w:val="68E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0705"/>
    <w:multiLevelType w:val="multilevel"/>
    <w:tmpl w:val="D30E5C9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 w15:restartNumberingAfterBreak="0">
    <w:nsid w:val="07CA79BF"/>
    <w:multiLevelType w:val="multilevel"/>
    <w:tmpl w:val="B82617C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7B23AB6"/>
    <w:multiLevelType w:val="multilevel"/>
    <w:tmpl w:val="30929C8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7D454CB"/>
    <w:multiLevelType w:val="hybridMultilevel"/>
    <w:tmpl w:val="8AC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D3E55"/>
    <w:multiLevelType w:val="multilevel"/>
    <w:tmpl w:val="F866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446608"/>
    <w:multiLevelType w:val="multilevel"/>
    <w:tmpl w:val="1C9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F56D2"/>
    <w:multiLevelType w:val="multilevel"/>
    <w:tmpl w:val="10C83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17124F"/>
    <w:multiLevelType w:val="multilevel"/>
    <w:tmpl w:val="06B25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04777C"/>
    <w:multiLevelType w:val="multilevel"/>
    <w:tmpl w:val="58B46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75C0C"/>
    <w:multiLevelType w:val="multilevel"/>
    <w:tmpl w:val="0D92F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B86FD8"/>
    <w:multiLevelType w:val="multilevel"/>
    <w:tmpl w:val="0A6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D04896"/>
    <w:multiLevelType w:val="multilevel"/>
    <w:tmpl w:val="B82617C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78785594"/>
    <w:multiLevelType w:val="multilevel"/>
    <w:tmpl w:val="BBAA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4E093A"/>
    <w:multiLevelType w:val="multilevel"/>
    <w:tmpl w:val="54CA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1E7B23"/>
    <w:multiLevelType w:val="multilevel"/>
    <w:tmpl w:val="822E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827F70"/>
    <w:multiLevelType w:val="multilevel"/>
    <w:tmpl w:val="63A2BC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5054578">
    <w:abstractNumId w:val="3"/>
  </w:num>
  <w:num w:numId="2" w16cid:durableId="506754416">
    <w:abstractNumId w:val="15"/>
  </w:num>
  <w:num w:numId="3" w16cid:durableId="254680113">
    <w:abstractNumId w:val="12"/>
  </w:num>
  <w:num w:numId="4" w16cid:durableId="878010855">
    <w:abstractNumId w:val="2"/>
  </w:num>
  <w:num w:numId="5" w16cid:durableId="817066993">
    <w:abstractNumId w:val="1"/>
  </w:num>
  <w:num w:numId="6" w16cid:durableId="581909896">
    <w:abstractNumId w:val="9"/>
  </w:num>
  <w:num w:numId="7" w16cid:durableId="1370565156">
    <w:abstractNumId w:val="0"/>
  </w:num>
  <w:num w:numId="8" w16cid:durableId="1956642952">
    <w:abstractNumId w:val="11"/>
  </w:num>
  <w:num w:numId="9" w16cid:durableId="156844287">
    <w:abstractNumId w:val="6"/>
  </w:num>
  <w:num w:numId="10" w16cid:durableId="844246262">
    <w:abstractNumId w:val="14"/>
  </w:num>
  <w:num w:numId="11" w16cid:durableId="356196699">
    <w:abstractNumId w:val="10"/>
  </w:num>
  <w:num w:numId="12" w16cid:durableId="1717588038">
    <w:abstractNumId w:val="7"/>
  </w:num>
  <w:num w:numId="13" w16cid:durableId="1106265688">
    <w:abstractNumId w:val="5"/>
  </w:num>
  <w:num w:numId="14" w16cid:durableId="1768581000">
    <w:abstractNumId w:val="8"/>
  </w:num>
  <w:num w:numId="15" w16cid:durableId="169834137">
    <w:abstractNumId w:val="16"/>
  </w:num>
  <w:num w:numId="16" w16cid:durableId="679816049">
    <w:abstractNumId w:val="13"/>
  </w:num>
  <w:num w:numId="17" w16cid:durableId="11072337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E8"/>
    <w:rsid w:val="00170CE6"/>
    <w:rsid w:val="00421CB8"/>
    <w:rsid w:val="004731E8"/>
    <w:rsid w:val="00616586"/>
    <w:rsid w:val="006428E8"/>
    <w:rsid w:val="00B836BC"/>
    <w:rsid w:val="00F9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5E8A"/>
  <w15:chartTrackingRefBased/>
  <w15:docId w15:val="{909ECC0A-8490-4569-9FBA-E62DD092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31E8"/>
    <w:pPr>
      <w:spacing w:after="0" w:line="240" w:lineRule="auto"/>
    </w:pPr>
  </w:style>
  <w:style w:type="paragraph" w:styleId="ListParagraph">
    <w:name w:val="List Paragraph"/>
    <w:basedOn w:val="Normal"/>
    <w:uiPriority w:val="34"/>
    <w:qFormat/>
    <w:rsid w:val="004731E8"/>
    <w:pPr>
      <w:ind w:left="720"/>
      <w:contextualSpacing/>
    </w:pPr>
  </w:style>
  <w:style w:type="paragraph" w:styleId="Header">
    <w:name w:val="header"/>
    <w:basedOn w:val="Normal"/>
    <w:link w:val="HeaderChar"/>
    <w:uiPriority w:val="99"/>
    <w:unhideWhenUsed/>
    <w:rsid w:val="00642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8E8"/>
  </w:style>
  <w:style w:type="paragraph" w:styleId="Footer">
    <w:name w:val="footer"/>
    <w:basedOn w:val="Normal"/>
    <w:link w:val="FooterChar"/>
    <w:uiPriority w:val="99"/>
    <w:unhideWhenUsed/>
    <w:rsid w:val="00642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10252">
      <w:bodyDiv w:val="1"/>
      <w:marLeft w:val="0"/>
      <w:marRight w:val="0"/>
      <w:marTop w:val="0"/>
      <w:marBottom w:val="0"/>
      <w:divBdr>
        <w:top w:val="none" w:sz="0" w:space="0" w:color="auto"/>
        <w:left w:val="none" w:sz="0" w:space="0" w:color="auto"/>
        <w:bottom w:val="none" w:sz="0" w:space="0" w:color="auto"/>
        <w:right w:val="none" w:sz="0" w:space="0" w:color="auto"/>
      </w:divBdr>
      <w:divsChild>
        <w:div w:id="417673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99569176">
      <w:bodyDiv w:val="1"/>
      <w:marLeft w:val="0"/>
      <w:marRight w:val="0"/>
      <w:marTop w:val="0"/>
      <w:marBottom w:val="0"/>
      <w:divBdr>
        <w:top w:val="none" w:sz="0" w:space="0" w:color="auto"/>
        <w:left w:val="none" w:sz="0" w:space="0" w:color="auto"/>
        <w:bottom w:val="none" w:sz="0" w:space="0" w:color="auto"/>
        <w:right w:val="none" w:sz="0" w:space="0" w:color="auto"/>
      </w:divBdr>
      <w:divsChild>
        <w:div w:id="7434535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1</cp:revision>
  <dcterms:created xsi:type="dcterms:W3CDTF">2026-04-23T00:59:00Z</dcterms:created>
  <dcterms:modified xsi:type="dcterms:W3CDTF">2026-04-23T09:53:00Z</dcterms:modified>
</cp:coreProperties>
</file>